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1F" w:rsidRPr="0055617D" w:rsidRDefault="00E3021F" w:rsidP="00E3021F">
      <w:pPr>
        <w:spacing w:after="0" w:line="240" w:lineRule="auto"/>
        <w:ind w:right="289" w:firstLine="7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ДОВІДКА</w:t>
      </w:r>
    </w:p>
    <w:p w:rsidR="00E3021F" w:rsidRPr="0055617D" w:rsidRDefault="00E3021F" w:rsidP="00E3021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 результати оперативно-службової діяльності </w:t>
      </w:r>
      <w:proofErr w:type="spellStart"/>
      <w:r w:rsidRPr="005561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ВП </w:t>
      </w:r>
      <w:proofErr w:type="spellStart"/>
      <w:r w:rsidRPr="005561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Бершадського</w:t>
      </w:r>
      <w:proofErr w:type="spellEnd"/>
      <w:r w:rsidRPr="005561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ВП ГУНП у Вінницькій області за період із 01.01.2016 року по теперішній час</w:t>
      </w:r>
    </w:p>
    <w:p w:rsidR="00E3021F" w:rsidRPr="0055617D" w:rsidRDefault="00E3021F" w:rsidP="00E3021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556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смт.Чечельник</w:t>
      </w:r>
      <w:proofErr w:type="spellEnd"/>
      <w:r w:rsidRPr="00556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</w:t>
      </w:r>
      <w:r w:rsidRPr="0055617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01.07.2016 р.</w:t>
      </w: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3021F" w:rsidRPr="0055617D" w:rsidRDefault="00E3021F" w:rsidP="00E3021F">
      <w:pPr>
        <w:keepNext/>
        <w:keepLines/>
        <w:widowControl w:val="0"/>
        <w:spacing w:after="0" w:line="240" w:lineRule="auto"/>
        <w:ind w:right="520" w:firstLine="567"/>
        <w:jc w:val="both"/>
        <w:outlineLvl w:val="0"/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ru-RU"/>
        </w:rPr>
      </w:pPr>
      <w:r w:rsidRPr="0055617D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ru-RU"/>
        </w:rPr>
        <w:t xml:space="preserve">Соціально-економічна характеристика </w:t>
      </w:r>
      <w:proofErr w:type="spellStart"/>
      <w:r w:rsidRPr="0055617D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ru-RU"/>
        </w:rPr>
        <w:t>Чечельницького</w:t>
      </w:r>
      <w:proofErr w:type="spellEnd"/>
      <w:r w:rsidRPr="0055617D">
        <w:rPr>
          <w:rFonts w:ascii="Calibri" w:eastAsia="Times New Roman" w:hAnsi="Calibri" w:cs="Times New Roman"/>
          <w:b/>
          <w:sz w:val="28"/>
          <w:szCs w:val="28"/>
          <w:shd w:val="clear" w:color="auto" w:fill="FFFFFF"/>
          <w:lang w:eastAsia="ru-RU"/>
        </w:rPr>
        <w:t xml:space="preserve"> району</w:t>
      </w:r>
    </w:p>
    <w:p w:rsidR="00E3021F" w:rsidRPr="0055617D" w:rsidRDefault="00E3021F" w:rsidP="00E3021F">
      <w:pPr>
        <w:widowControl w:val="0"/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Площа – 759 км</w:t>
      </w:r>
      <w:r w:rsidRPr="0055617D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uk-UA"/>
        </w:rPr>
        <w:t>2</w:t>
      </w:r>
      <w:r w:rsidRPr="00556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,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що становить 2,5 </w:t>
      </w:r>
      <w:r w:rsidRPr="0055617D">
        <w:rPr>
          <w:rFonts w:ascii="Times New Roman" w:eastAsia="Times New Roman" w:hAnsi="Times New Roman" w:cs="Times New Roman"/>
          <w:b/>
          <w:i/>
          <w:color w:val="000000"/>
          <w:spacing w:val="-50"/>
          <w:sz w:val="28"/>
          <w:szCs w:val="28"/>
          <w:lang w:eastAsia="uk-UA"/>
        </w:rPr>
        <w:t>%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 території області. З півночі на південь район простягається майже на 21 км, із заходу на схід - на 38 км. Район межує з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Бершадським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Тростянецьким,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Піщанським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районами,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Кодимським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Балтськими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райономи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Одеської області.</w:t>
      </w:r>
    </w:p>
    <w:p w:rsidR="00E3021F" w:rsidRPr="0055617D" w:rsidRDefault="00E3021F" w:rsidP="00E3021F">
      <w:pPr>
        <w:widowControl w:val="0"/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Чисельність населення – 21520  осіб,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з них міського населення - 5100 осіб та сільського - 16420 осіб.</w:t>
      </w:r>
    </w:p>
    <w:p w:rsidR="00E3021F" w:rsidRPr="0055617D" w:rsidRDefault="00E3021F" w:rsidP="00E3021F">
      <w:pPr>
        <w:widowControl w:val="0"/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До складу району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входить 22 </w:t>
      </w:r>
      <w:r w:rsidRPr="00556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населених пункти, з них 1 селище міського типу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, 21 сільський населений пункт.</w:t>
      </w:r>
    </w:p>
    <w:p w:rsidR="00E3021F" w:rsidRPr="0055617D" w:rsidRDefault="00E3021F" w:rsidP="00E3021F">
      <w:pPr>
        <w:widowControl w:val="0"/>
        <w:spacing w:after="0" w:line="240" w:lineRule="auto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Рівень безробіття  у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7,15 (у % від працездатного населення).</w:t>
      </w:r>
    </w:p>
    <w:p w:rsidR="00E3021F" w:rsidRPr="0055617D" w:rsidRDefault="00E3021F" w:rsidP="00E3021F">
      <w:pPr>
        <w:spacing w:after="0" w:line="240" w:lineRule="auto"/>
        <w:ind w:left="20" w:firstLine="5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Середня заробітна плата </w:t>
      </w:r>
      <w:r w:rsidRPr="00556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556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районі 2315 грн. </w:t>
      </w:r>
    </w:p>
    <w:p w:rsidR="00E3021F" w:rsidRPr="0055617D" w:rsidRDefault="00E3021F" w:rsidP="00E3021F">
      <w:pPr>
        <w:widowControl w:val="0"/>
        <w:spacing w:after="0" w:line="240" w:lineRule="auto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Міграційні процеси в районі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750 осіб прибуло, вибуло 300 осіб.  </w:t>
      </w: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Про стан розслідування кримінальних правопорушень.</w:t>
      </w: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питання про стан оперативно-службової діяльності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ГУНП станом на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01.07.2016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слід зазначити, що вжиті організаційні та практичні заходи, спрямовані на посилення протидії злочинності, дозволили не в повному обсязі зберегти контроль за криміногенною ситуацією на  території обслуговування.</w:t>
      </w:r>
    </w:p>
    <w:p w:rsidR="00E3021F" w:rsidRPr="0055617D" w:rsidRDefault="00E3021F" w:rsidP="00E30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Станом на </w:t>
      </w: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01</w:t>
      </w: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.0</w:t>
      </w: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.201</w:t>
      </w: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року </w:t>
      </w: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 </w:t>
      </w: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Start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ідділенні</w:t>
      </w:r>
      <w:proofErr w:type="spellEnd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поліції</w:t>
      </w: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відсутні</w:t>
      </w:r>
      <w:proofErr w:type="spellEnd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факти</w:t>
      </w:r>
      <w:proofErr w:type="spellEnd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використання</w:t>
      </w:r>
      <w:proofErr w:type="spellEnd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співробітникі</w:t>
      </w:r>
      <w:proofErr w:type="gramStart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в</w:t>
      </w:r>
      <w:proofErr w:type="spellEnd"/>
      <w:proofErr w:type="gramEnd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не за </w:t>
      </w:r>
      <w:proofErr w:type="spellStart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призначенням</w:t>
      </w:r>
      <w:proofErr w:type="spellEnd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</w:t>
      </w:r>
    </w:p>
    <w:p w:rsidR="00E3021F" w:rsidRPr="0055617D" w:rsidRDefault="00E3021F" w:rsidP="00E3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  <w:proofErr w:type="spellStart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Штатна</w:t>
      </w:r>
      <w:proofErr w:type="spellEnd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чисельність</w:t>
      </w:r>
      <w:proofErr w:type="spellEnd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ВП </w:t>
      </w:r>
      <w:proofErr w:type="spellStart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Бершадського</w:t>
      </w:r>
      <w:proofErr w:type="spellEnd"/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ВП ГУНП </w:t>
      </w: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становить</w:t>
      </w:r>
      <w:r w:rsidRPr="0055617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br/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36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чоловік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Вакансій - 3 (3 – </w:t>
      </w:r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eastAsia="uk-UA"/>
        </w:rPr>
        <w:t>ДОП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3021F" w:rsidRPr="0055617D" w:rsidRDefault="00E3021F" w:rsidP="00E302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</w:pPr>
    </w:p>
    <w:p w:rsidR="00E3021F" w:rsidRPr="0055617D" w:rsidRDefault="00E3021F" w:rsidP="00E3021F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період із 01.01.2016 по теперішній час в Журналі Єдиного Обліку </w:t>
      </w:r>
      <w:proofErr w:type="spellStart"/>
      <w:r w:rsidRPr="00556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 </w:t>
      </w:r>
      <w:proofErr w:type="spellStart"/>
      <w:r w:rsidRPr="00556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Бершадського</w:t>
      </w:r>
      <w:proofErr w:type="spellEnd"/>
      <w:r w:rsidRPr="00556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 ГУНП  було зареєстровано</w:t>
      </w:r>
      <w:r w:rsidRPr="005561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778 </w:t>
      </w:r>
      <w:r w:rsidRPr="005561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повідомлень про кримінальні правопорушення та інші події. </w:t>
      </w:r>
    </w:p>
    <w:p w:rsidR="00E3021F" w:rsidRPr="0055617D" w:rsidRDefault="00E3021F" w:rsidP="00E3021F">
      <w:pPr>
        <w:widowControl w:val="0"/>
        <w:spacing w:after="0" w:line="240" w:lineRule="auto"/>
        <w:ind w:left="52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По 103 повідомленням було прийнято рішення про реєстрацію в</w:t>
      </w:r>
      <w:r w:rsidRPr="005561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ЄРДР (в т.ч. 6 приєднано до ЄРДР),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т.ч.26- тяжких та особливо тяжких (по 9 було вручено повідомлення про підозру),  </w:t>
      </w:r>
    </w:p>
    <w:p w:rsidR="00E3021F" w:rsidRPr="0055617D" w:rsidRDefault="00E3021F" w:rsidP="00E3021F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56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2)</w:t>
      </w:r>
      <w:r w:rsidRPr="0055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556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Прийнято рішення згідно Закону України «Про звернення громадян»</w:t>
      </w:r>
      <w:r w:rsidRPr="0055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- 671;</w:t>
      </w:r>
    </w:p>
    <w:p w:rsidR="00E3021F" w:rsidRPr="0055617D" w:rsidRDefault="00E3021F" w:rsidP="00E3021F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56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3)</w:t>
      </w:r>
      <w:r w:rsidRPr="0055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556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В ході розгляду заяв та повідомлень по 2 </w:t>
      </w:r>
      <w:r w:rsidRPr="0055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Pr="00556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фактах винних осіб притягнуто до адміністративної відповідальності</w:t>
      </w:r>
      <w:r w:rsidRPr="005561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; </w:t>
      </w:r>
    </w:p>
    <w:p w:rsidR="00E3021F" w:rsidRPr="0055617D" w:rsidRDefault="00E3021F" w:rsidP="00E3021F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55617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4) Передано до іншого ОВС - 4.</w:t>
      </w:r>
    </w:p>
    <w:p w:rsidR="00E3021F" w:rsidRPr="0055617D" w:rsidRDefault="00E3021F" w:rsidP="00E3021F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3021F" w:rsidRPr="0055617D" w:rsidRDefault="00E3021F" w:rsidP="00E3021F">
      <w:pPr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В період із 01.01. 2016 року по  теперішній час: </w:t>
      </w: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знаходилося в провадженні КП 129 (без урахування закритих - 64 );</w:t>
      </w: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зареєстровано  кримінальних правопорушень 79  (без урахування закритих 28); </w:t>
      </w:r>
    </w:p>
    <w:p w:rsidR="00E3021F" w:rsidRPr="0055617D" w:rsidRDefault="00E3021F" w:rsidP="00E302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по 20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кримінальнох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провадженнях 32 особам було вручено повідомлення про підозру про вчинення кримінального правопорушення;</w:t>
      </w:r>
    </w:p>
    <w:p w:rsidR="00E3021F" w:rsidRPr="0055617D" w:rsidRDefault="00E3021F" w:rsidP="00E302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направлено до суду із обвинувальним актом – 29, з угодою про примирення сторін – 1; </w:t>
      </w:r>
    </w:p>
    <w:p w:rsidR="00E3021F" w:rsidRPr="0055617D" w:rsidRDefault="00E3021F" w:rsidP="00E3021F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- 62 кримінальних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провадженя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усього розслідувано (без урахування закритих 20);  </w:t>
      </w:r>
    </w:p>
    <w:p w:rsidR="00E3021F" w:rsidRPr="0055617D" w:rsidRDefault="00E3021F" w:rsidP="00E3021F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28 кримінальних проваджень  закрито;</w:t>
      </w: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Залишок на кінець звітного періоду - 129 кримінальних провадження. </w:t>
      </w: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Відносно 1 особи обрано запобіжний захід у вигляді взяття під варту, 1– домашній арешт.  </w:t>
      </w: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1F" w:rsidRPr="0055617D" w:rsidRDefault="00E3021F" w:rsidP="00E3021F">
      <w:pPr>
        <w:widowControl w:val="0"/>
        <w:tabs>
          <w:tab w:val="right" w:pos="6930"/>
        </w:tabs>
        <w:spacing w:after="0" w:line="240" w:lineRule="auto"/>
        <w:ind w:lef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Викрито 36 осіб, які вчинили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кримінальні правопорушення.</w:t>
      </w:r>
    </w:p>
    <w:p w:rsidR="00E3021F" w:rsidRPr="0055617D" w:rsidRDefault="00E3021F" w:rsidP="00E3021F">
      <w:pPr>
        <w:widowControl w:val="0"/>
        <w:spacing w:after="0" w:line="240" w:lineRule="auto"/>
        <w:ind w:left="20" w:right="20" w:firstLine="5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злочинних проявів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потерпіло 85 громадян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. Жертвами скоєння злочинів стали 0 дітей, 12 жінок, 15 пенсіонерів та осіб похилого віку. Унаслідок учинення відносно них кримінальних правопорушень загинуло 0 громадян.</w:t>
      </w: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При цьому кримінальні правопорушення були скоєні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3021F" w:rsidRPr="0055617D" w:rsidRDefault="00E3021F" w:rsidP="00E3021F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раніше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вчинявшими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злочини – 4</w:t>
      </w:r>
    </w:p>
    <w:p w:rsidR="00E3021F" w:rsidRPr="0055617D" w:rsidRDefault="00E3021F" w:rsidP="00E3021F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неповнолітніми –0 </w:t>
      </w:r>
    </w:p>
    <w:p w:rsidR="00E3021F" w:rsidRPr="0055617D" w:rsidRDefault="00E3021F" w:rsidP="00E3021F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групі – 2</w:t>
      </w:r>
    </w:p>
    <w:p w:rsidR="00E3021F" w:rsidRPr="0055617D" w:rsidRDefault="00E3021F" w:rsidP="00E3021F">
      <w:pPr>
        <w:numPr>
          <w:ilvl w:val="0"/>
          <w:numId w:val="1"/>
        </w:num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стані алкогольного сп’яніння – 4</w:t>
      </w: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Якщо аналізувати результати оперативно-службової діяльності співробітників райвідділу, в розрізі кримінальних правопорушень, то отримаємо наступну ситуацію:</w:t>
      </w:r>
    </w:p>
    <w:p w:rsidR="00E3021F" w:rsidRDefault="00E3021F" w:rsidP="00E3021F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Враховуючи перелік здійснених оперативно-профілактичних заходів за звітний період, на території обслуговування не допущено таких тяжких та особливо тяжких кримінальних правопорушень, як очевидне умисне вбивство, вимагання, розбій та грабіж. </w:t>
      </w:r>
    </w:p>
    <w:p w:rsidR="00E3021F" w:rsidRPr="0055617D" w:rsidRDefault="00E3021F" w:rsidP="00E3021F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період із 01.01.2016 року по теперішній час Контрольних та особливо</w:t>
      </w:r>
    </w:p>
    <w:p w:rsidR="00E3021F" w:rsidRDefault="00E3021F" w:rsidP="00E3021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резонансних злочинів на території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не було.</w:t>
      </w:r>
    </w:p>
    <w:p w:rsidR="00E3021F" w:rsidRDefault="00E3021F" w:rsidP="00E3021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3021F" w:rsidRDefault="00E3021F" w:rsidP="00E3021F">
      <w:pPr>
        <w:ind w:firstLine="454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ПРОТИДІЯ КОРУПЦІЇ</w:t>
      </w:r>
    </w:p>
    <w:p w:rsidR="00E3021F" w:rsidRPr="0055617D" w:rsidRDefault="00E3021F" w:rsidP="00E3021F">
      <w:pPr>
        <w:ind w:firstLine="45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Протягом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201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 в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провадження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Бершадського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 ГУНП (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урахуванням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служби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01.01.201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0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.201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року) в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провадженні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знаходилося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кримінальн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проваджен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яких: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021F" w:rsidRPr="0055617D" w:rsidRDefault="00E3021F" w:rsidP="00E3021F">
      <w:pPr>
        <w:numPr>
          <w:ilvl w:val="0"/>
          <w:numId w:val="4"/>
        </w:numPr>
        <w:tabs>
          <w:tab w:val="left" w:pos="426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366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ч.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КК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службове </w:t>
      </w:r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ідроблення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направлено до суду.</w:t>
      </w:r>
    </w:p>
    <w:p w:rsidR="00E3021F" w:rsidRPr="0055617D" w:rsidRDefault="00E3021F" w:rsidP="00E3021F">
      <w:pPr>
        <w:pStyle w:val="a3"/>
        <w:numPr>
          <w:ilvl w:val="0"/>
          <w:numId w:val="4"/>
        </w:num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ст.191 ч.3 КК України -   привласнення грошових коштів. По даним фактам проводиться службове розслідування </w:t>
      </w:r>
    </w:p>
    <w:p w:rsidR="00E3021F" w:rsidRPr="0055617D" w:rsidRDefault="00E3021F" w:rsidP="00E3021F">
      <w:pPr>
        <w:spacing w:after="0" w:line="240" w:lineRule="auto"/>
        <w:ind w:left="-660" w:right="-1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1F" w:rsidRPr="0055617D" w:rsidRDefault="00E3021F" w:rsidP="00E3021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напрямку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розшуку</w:t>
      </w:r>
      <w:proofErr w:type="spellEnd"/>
      <w:r w:rsidRPr="005561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ru-RU"/>
        </w:rPr>
        <w:t>злочинців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безвісти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зниклих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невпізнаних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трупів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Бершадського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 ГУНП проведено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наступну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роботу:</w:t>
      </w:r>
    </w:p>
    <w:p w:rsidR="00E3021F" w:rsidRPr="0055617D" w:rsidRDefault="00E3021F" w:rsidP="00E3021F">
      <w:pPr>
        <w:numPr>
          <w:ilvl w:val="0"/>
          <w:numId w:val="3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розшукано  2 безвісті зниклих та 2 злочинців  (0 оголошено в розшук);</w:t>
      </w:r>
    </w:p>
    <w:p w:rsidR="00E3021F" w:rsidRPr="0055617D" w:rsidRDefault="00E3021F" w:rsidP="00E3021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в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розшуку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перебуває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1злочин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иць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(на початку 2016 року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);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безвісти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зниклих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0 ( на початку 2016 </w:t>
      </w:r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1);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невпізнаних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трупів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21F" w:rsidRPr="0055617D" w:rsidRDefault="00E3021F" w:rsidP="00E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21F" w:rsidRPr="0055617D" w:rsidRDefault="00E3021F" w:rsidP="00E3021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НЕЗАКОННИЙ ОБІГ НАРКОТИЧНИХ ЗАСОБІВ</w:t>
      </w:r>
      <w:r w:rsidRPr="005561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</w:p>
    <w:p w:rsidR="00E3021F" w:rsidRPr="0055617D" w:rsidRDefault="00E3021F" w:rsidP="00E30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Протягом 2016 року співробітниками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ГУНП у Вінницькій області було зареєстровано 11 фактів незаконного обігу наркотиків. По 1 фактові кримінальне провадження було закрито. Три направлено до суду по двом іншим провадженням (за ст. 309 КК України) на даний час рішення ще не прийнято. В перспективі буде повідомлено про підозру.</w:t>
      </w:r>
    </w:p>
    <w:p w:rsidR="00E3021F" w:rsidRPr="0055617D" w:rsidRDefault="00E3021F" w:rsidP="00E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Що стосується протидії розповсюдженню наркотиків, то на даний час у співробітників кримінальної поліції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є оперативна інформація відносно осіб, які займаються розповсюдженням наркотиків, яку неможливо реалізувати без проведення оперативно-розшукових заходів, в т.ч. із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задіянням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оперативних служб. В провадженні співробітників КП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знаходиться оперативний облік, по якому заплановано проведення ОТЗ з метою викриття групи осіб в незаконному збуті наркотиків.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Превентивна діяльність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період з 01.01.2016 року по 01.06.2016 року відділом превентивної діяльності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Бершадського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 ГУНП у Вінницькій області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безпосередньо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розкрито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кримінальних правопорушень .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Додатково п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рийнято участь у розкритті ще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4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злочинів. 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впродовж вказаного періоду виявлено та задокументовано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фактів  незаконних операцій з наркотиками. </w:t>
      </w:r>
    </w:p>
    <w:p w:rsidR="00E3021F" w:rsidRPr="0055617D" w:rsidRDefault="00E3021F" w:rsidP="00E30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Уживалися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заходи,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спрямовані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протидію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скоєнню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правопорушень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вказаний період безпосередньо було затримано </w:t>
      </w:r>
      <w:r w:rsidRPr="0055617D">
        <w:rPr>
          <w:rFonts w:ascii="Times New Roman" w:eastAsia="MS Mincho" w:hAnsi="Times New Roman" w:cs="Times New Roman"/>
          <w:b/>
          <w:sz w:val="28"/>
          <w:szCs w:val="28"/>
          <w:lang w:eastAsia="ru-RU"/>
        </w:rPr>
        <w:t>467</w:t>
      </w:r>
      <w:r w:rsidRPr="0055617D">
        <w:rPr>
          <w:rFonts w:ascii="Times New Roman" w:eastAsia="MS Mincho" w:hAnsi="Times New Roman" w:cs="Times New Roman"/>
          <w:sz w:val="28"/>
          <w:szCs w:val="28"/>
          <w:lang w:eastAsia="ru-RU"/>
        </w:rPr>
        <w:t xml:space="preserve"> правопорушників, відносно яких складено протоколи про адміністративні правопорушення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розрізі статей, виявлено та складено: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- 187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- 22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- 173-2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58</w:t>
      </w:r>
    </w:p>
    <w:p w:rsidR="00E3021F" w:rsidRPr="0055617D" w:rsidRDefault="00E3021F" w:rsidP="00E3021F">
      <w:pPr>
        <w:widowControl w:val="0"/>
        <w:tabs>
          <w:tab w:val="left" w:pos="993"/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- 176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- 177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- 173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55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- 192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26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- 195-2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- 184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11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 180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 156-2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ст. 44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</w:p>
    <w:p w:rsidR="00E3021F" w:rsidRPr="0055617D" w:rsidRDefault="00E3021F" w:rsidP="00E3021F">
      <w:pPr>
        <w:widowControl w:val="0"/>
        <w:tabs>
          <w:tab w:val="left" w:pos="6663"/>
          <w:tab w:val="left" w:pos="7655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Здійснювалися заходи, спрямовані на належне здійснення профілактичної роботи із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підобліковими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особами.</w:t>
      </w:r>
    </w:p>
    <w:p w:rsidR="00E3021F" w:rsidRPr="0055617D" w:rsidRDefault="00E3021F" w:rsidP="00E30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даний час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профілактується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122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криміногенні особи, з яких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особи, що звільнились з місць позбавлення волі, 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які перебувають під адміністративним наглядом та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формально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підпадаючих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під адміністративний нагляд.</w:t>
      </w:r>
    </w:p>
    <w:p w:rsidR="00E3021F" w:rsidRPr="0055617D" w:rsidRDefault="00E3021F" w:rsidP="00E30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Окр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того,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профілактична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особами,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засуджені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покарань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позбавленням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волі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Проведеними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звірками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початку року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додатково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поставлено на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ілактичний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формальники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 та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раніше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судимих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ухилялися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ГУНП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Впродовж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звітного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поточного року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адміністративний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нагляд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взято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раніше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судимих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поточному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році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ужито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більш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дієвих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ілактичних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попереджувальних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попередження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родинах. 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Так, на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перебуває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100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вчинили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них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98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чоловіків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жінок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вказаний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термін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поставлено на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98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таких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Надійшло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насильства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сім’ях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правопорушників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вжито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мір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адміністративного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реагування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Винесено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захисних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приписи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направлено на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корекційну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програму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4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особи.  Не допущено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ідкриття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кримінальних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проваджень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пов’язаних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насильством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21F" w:rsidRPr="0055617D" w:rsidRDefault="00E3021F" w:rsidP="00E3021F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Start"/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ро</w:t>
      </w:r>
      <w:proofErr w:type="spellEnd"/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роботу сектору 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(превентивної діяльності з ювенальної превенції )</w:t>
      </w:r>
    </w:p>
    <w:p w:rsidR="00E3021F" w:rsidRPr="0055617D" w:rsidRDefault="00E3021F" w:rsidP="00E3021F">
      <w:pPr>
        <w:spacing w:after="0" w:line="240" w:lineRule="auto"/>
        <w:ind w:left="-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території обслуговування знаходиться 16  шкіл,  1 професійно-технічне училище.  На обліку в секторі (у складі відділу)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ВП неповнолітніх не перебуває , які скоювали кримінальні правопорушення. 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вказаних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категорій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середніх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учні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професійно-технічних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робітники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- 0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не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працюючі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не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навчаються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0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даними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особами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ведеться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профілактична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за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 метою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недопущення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подальшому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вчинення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протиправних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перебуває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сім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опинились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них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життєвих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обставинах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в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проживає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звітний період 2016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до 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неповнолітніх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не доставлялось.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 факт про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безві</w:t>
      </w:r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зникл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неповнолітн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ього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 як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знайдено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протягом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доби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Всього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заяв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звернення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ЗМІ.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Проведено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лекц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ій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виступів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навчальних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закладах району. 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району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знаходиться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комп’ютерни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клуб,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ірка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здійснювалась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 –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Здійснено 45 перевірок місць концентрації молоді, з метою встановлення фактів продажу спиртних та тютюнових виробів неповнолітнім та інших  правопорушень. </w:t>
      </w:r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тому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рейд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разом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зацікавленими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службами. 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систематично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здійснюється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перевірка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розважальних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закладів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предмет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перебування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них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виповнилось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16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рокі</w:t>
      </w:r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без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супроводу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дорослих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На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правопорушень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Всього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складено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адм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іністративни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протокол: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ст.184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(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невик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батьків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обов’язків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ст.178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173-2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3021F" w:rsidRPr="0055617D" w:rsidRDefault="00E3021F" w:rsidP="00E30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173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3021F" w:rsidRPr="0055617D" w:rsidRDefault="00E3021F" w:rsidP="00E30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21F" w:rsidRPr="0055617D" w:rsidRDefault="00E3021F" w:rsidP="00E302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(О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ПБ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)</w:t>
      </w:r>
    </w:p>
    <w:p w:rsidR="00E3021F" w:rsidRPr="0055617D" w:rsidRDefault="00E3021F" w:rsidP="00E302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З</w:t>
      </w:r>
      <w:proofErr w:type="gramEnd"/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0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1.201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.0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.2016 року на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району проведено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масових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різноманітного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тому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числі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E3021F" w:rsidRPr="0055617D" w:rsidRDefault="00E3021F" w:rsidP="00E302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Спортивного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 –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;</w:t>
      </w:r>
    </w:p>
    <w:p w:rsidR="00E3021F" w:rsidRPr="0055617D" w:rsidRDefault="00E3021F" w:rsidP="00E302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Рел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ігійного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   - 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3021F" w:rsidRPr="0055617D" w:rsidRDefault="00E3021F" w:rsidP="00E302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Культурно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видовищного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характеру –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8;</w:t>
      </w:r>
    </w:p>
    <w:p w:rsidR="00E3021F" w:rsidRPr="0055617D" w:rsidRDefault="00E3021F" w:rsidP="00E3021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Інших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-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  </w:t>
      </w:r>
    </w:p>
    <w:p w:rsidR="00E3021F" w:rsidRPr="0055617D" w:rsidRDefault="00E3021F" w:rsidP="00E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1F" w:rsidRPr="0055617D" w:rsidRDefault="00E3021F" w:rsidP="00E302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заходах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участь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біля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65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50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жителі</w:t>
      </w:r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proofErr w:type="spellEnd"/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району.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заходів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надзвичайних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подій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порядку не допущено. На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безпеки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і порядку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задіяно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66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співробітників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ВП.</w:t>
      </w:r>
    </w:p>
    <w:p w:rsidR="00E3021F" w:rsidRPr="0055617D" w:rsidRDefault="00E3021F" w:rsidP="00E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21F" w:rsidRPr="0055617D" w:rsidRDefault="00E3021F" w:rsidP="00E30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(</w:t>
      </w:r>
      <w:proofErr w:type="spellStart"/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Дозвільна</w:t>
      </w:r>
      <w:proofErr w:type="spellEnd"/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система)</w:t>
      </w:r>
    </w:p>
    <w:p w:rsidR="00E3021F" w:rsidRPr="0055617D" w:rsidRDefault="00E3021F" w:rsidP="00E302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на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іку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знаходиться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742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зброї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E3021F" w:rsidRPr="0055617D" w:rsidRDefault="00E3021F" w:rsidP="00E30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гладко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ствольної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620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3021F" w:rsidRPr="0055617D" w:rsidRDefault="00E3021F" w:rsidP="00E30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газової</w:t>
      </w:r>
      <w:proofErr w:type="spellEnd"/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;</w:t>
      </w:r>
    </w:p>
    <w:p w:rsidR="00E3021F" w:rsidRPr="0055617D" w:rsidRDefault="00E3021F" w:rsidP="00E30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lastRenderedPageBreak/>
        <w:t xml:space="preserve">-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пристрої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для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відстрілу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гумових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proofErr w:type="gramStart"/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;</w:t>
      </w:r>
      <w:proofErr w:type="gramEnd"/>
    </w:p>
    <w:p w:rsidR="00E3021F" w:rsidRPr="0055617D" w:rsidRDefault="00E3021F" w:rsidP="00E30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нарізної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вказаний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дозвільною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системою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проведено роботу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щодо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недопущення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правопорушень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відкриття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полювання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парнокопитного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хутрового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звіра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За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вищевказаний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створено 34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рейдові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метою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належного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контролю 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недопущення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пожеж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мисливських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угіддях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і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боротьби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браконьєрством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полювання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парнокопитного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хутрового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звіра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В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рейдових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групах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задіяно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поліції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разом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працівниками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держлісгоспу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вказаний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залучалося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41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чоловік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громадськості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рейдових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виїздів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мисливських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угіддях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задокументовано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правил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полювання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Доповідаю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Вам про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</w:t>
      </w:r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,щ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території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району на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обліку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знаходиться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620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зброї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:</w:t>
      </w:r>
    </w:p>
    <w:p w:rsidR="00E3021F" w:rsidRPr="0055617D" w:rsidRDefault="00E3021F" w:rsidP="00E30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гладко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ствольної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620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одиниць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E3021F" w:rsidRPr="0055617D" w:rsidRDefault="00E3021F" w:rsidP="00E30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газової</w:t>
      </w:r>
      <w:proofErr w:type="spellEnd"/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;</w:t>
      </w:r>
    </w:p>
    <w:p w:rsidR="00E3021F" w:rsidRPr="0055617D" w:rsidRDefault="00E3021F" w:rsidP="00E302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пристрої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відстрілу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гумових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;</w:t>
      </w:r>
    </w:p>
    <w:p w:rsidR="00E3021F" w:rsidRPr="0055617D" w:rsidRDefault="00E3021F" w:rsidP="00E302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-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нарізної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</w:t>
      </w:r>
      <w:r w:rsidRPr="0055617D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Також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вищевказаний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здійснювалася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робота по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перевірці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власників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вогнепальної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гладко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ствольної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нарізної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газової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зброї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пристроїв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відстрілу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гумових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куль.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</w:t>
      </w:r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час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перевірок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громадян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місцем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проживання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перевірку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умов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зберігання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зброї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результатом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яких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виявлено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задокументовано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порушень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ст. 192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КУпАП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 xml:space="preserve">За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вказаний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період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дозвільною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системою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ВП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було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прийнято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5617D">
        <w:rPr>
          <w:rFonts w:ascii="Times New Roman" w:eastAsia="Times New Roman" w:hAnsi="Times New Roman" w:cs="Times New Roman"/>
          <w:sz w:val="28"/>
          <w:szCs w:val="28"/>
          <w:lang w:eastAsia="ru-RU"/>
        </w:rPr>
        <w:t>78</w:t>
      </w:r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осіб</w:t>
      </w:r>
      <w:proofErr w:type="spellEnd"/>
      <w:proofErr w:type="gram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приводу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здійснення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перереєстрації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зброї</w:t>
      </w:r>
      <w:proofErr w:type="spellEnd"/>
      <w:r w:rsidRPr="0055617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E3021F" w:rsidRPr="0055617D" w:rsidRDefault="00E3021F" w:rsidP="00E3021F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21F" w:rsidRPr="0055617D" w:rsidRDefault="00E3021F" w:rsidP="00E3021F">
      <w:pPr>
        <w:spacing w:after="0" w:line="240" w:lineRule="auto"/>
        <w:ind w:right="-1"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21F" w:rsidRPr="0055617D" w:rsidRDefault="00E3021F" w:rsidP="00E302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</w:t>
      </w:r>
      <w:proofErr w:type="spellStart"/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Чечельницького</w:t>
      </w:r>
      <w:proofErr w:type="spellEnd"/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</w:t>
      </w:r>
    </w:p>
    <w:p w:rsidR="00E3021F" w:rsidRPr="0055617D" w:rsidRDefault="00E3021F" w:rsidP="00E302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Бершадського</w:t>
      </w:r>
      <w:proofErr w:type="spellEnd"/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ВП ГУНП </w:t>
      </w:r>
    </w:p>
    <w:p w:rsidR="00E3021F" w:rsidRPr="0055617D" w:rsidRDefault="00E3021F" w:rsidP="00E3021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Вінницькій області </w:t>
      </w:r>
    </w:p>
    <w:p w:rsidR="00E3021F" w:rsidRDefault="00E3021F" w:rsidP="00E3021F">
      <w:pPr>
        <w:spacing w:after="0" w:line="240" w:lineRule="auto"/>
        <w:ind w:right="-1"/>
        <w:jc w:val="both"/>
      </w:pPr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підполковник поліції                                                                 Р.І.</w:t>
      </w:r>
      <w:proofErr w:type="spellStart"/>
      <w:r w:rsidRPr="005561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Басалига</w:t>
      </w:r>
      <w:proofErr w:type="spellEnd"/>
    </w:p>
    <w:p w:rsidR="00E3021F" w:rsidRDefault="00E3021F" w:rsidP="00E3021F"/>
    <w:p w:rsidR="00E3021F" w:rsidRDefault="00E3021F" w:rsidP="00E3021F"/>
    <w:p w:rsidR="00E3021F" w:rsidRDefault="00E3021F" w:rsidP="00E3021F"/>
    <w:p w:rsidR="00F0401A" w:rsidRDefault="00F0401A">
      <w:bookmarkStart w:id="0" w:name="_GoBack"/>
      <w:bookmarkEnd w:id="0"/>
    </w:p>
    <w:sectPr w:rsidR="00F0401A" w:rsidSect="0094328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E5D"/>
    <w:multiLevelType w:val="hybridMultilevel"/>
    <w:tmpl w:val="643EFCEC"/>
    <w:lvl w:ilvl="0" w:tplc="0422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3880F00"/>
    <w:multiLevelType w:val="hybridMultilevel"/>
    <w:tmpl w:val="8FE6F366"/>
    <w:lvl w:ilvl="0" w:tplc="DDA0D6F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C97035F"/>
    <w:multiLevelType w:val="hybridMultilevel"/>
    <w:tmpl w:val="FB827666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70D97F19"/>
    <w:multiLevelType w:val="hybridMultilevel"/>
    <w:tmpl w:val="F7C268D4"/>
    <w:lvl w:ilvl="0" w:tplc="8A9CE29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21F"/>
    <w:rsid w:val="00943286"/>
    <w:rsid w:val="00E3021F"/>
    <w:rsid w:val="00F0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7500</Words>
  <Characters>4276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2016-07-05T05:52:00Z</dcterms:created>
  <dcterms:modified xsi:type="dcterms:W3CDTF">2016-07-05T05:52:00Z</dcterms:modified>
</cp:coreProperties>
</file>