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3"/>
      </w:tblGrid>
      <w:tr w:rsidR="000F5688" w:rsidRPr="000F5688" w:rsidTr="000F5688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5688" w:rsidRPr="000F5688" w:rsidRDefault="000F5688" w:rsidP="000F5688">
            <w:pPr>
              <w:spacing w:before="150" w:after="150" w:line="240" w:lineRule="auto"/>
              <w:ind w:left="450" w:right="4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F56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567690" cy="767080"/>
                  <wp:effectExtent l="0" t="0" r="3810" b="0"/>
                  <wp:docPr id="1" name="Рисунок 1" descr="http://zakonst.rada.gov.ua/images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zakonst.rada.gov.ua/images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" cy="767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5688" w:rsidRPr="000F5688" w:rsidTr="000F5688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5688" w:rsidRPr="000F5688" w:rsidRDefault="000F5688" w:rsidP="000F5688">
            <w:pPr>
              <w:spacing w:after="0" w:line="240" w:lineRule="auto"/>
              <w:ind w:left="450" w:right="4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F568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bdr w:val="none" w:sz="0" w:space="0" w:color="auto" w:frame="1"/>
                <w:lang w:eastAsia="uk-UA"/>
              </w:rPr>
              <w:t>КАБІНЕТ МІНІСТРІВ УКРАЇНИ</w:t>
            </w:r>
            <w:r w:rsidRPr="000F568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0F568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0F5688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bdr w:val="none" w:sz="0" w:space="0" w:color="auto" w:frame="1"/>
                <w:lang w:eastAsia="uk-UA"/>
              </w:rPr>
              <w:t>ПОСТАНОВА</w:t>
            </w:r>
          </w:p>
        </w:tc>
      </w:tr>
      <w:tr w:rsidR="000F5688" w:rsidRPr="000F5688" w:rsidTr="000F5688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5688" w:rsidRPr="000F5688" w:rsidRDefault="000F5688" w:rsidP="000F5688">
            <w:pPr>
              <w:spacing w:after="0" w:line="240" w:lineRule="auto"/>
              <w:ind w:left="450" w:right="4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F5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від 12 листопада 2014 р. № 607 </w:t>
            </w:r>
            <w:r w:rsidRPr="000F568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0F5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Київ</w:t>
            </w:r>
          </w:p>
        </w:tc>
      </w:tr>
    </w:tbl>
    <w:p w:rsidR="000F5688" w:rsidRPr="000F5688" w:rsidRDefault="000F5688" w:rsidP="000F5688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0" w:name="n3"/>
      <w:bookmarkEnd w:id="0"/>
      <w:r w:rsidRPr="000F568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uk-UA"/>
        </w:rPr>
        <w:t>Про затвердження структури військового резерву людських ресурсів</w:t>
      </w:r>
    </w:p>
    <w:p w:rsidR="000F5688" w:rsidRPr="000F5688" w:rsidRDefault="000F5688" w:rsidP="000F568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" w:name="n4"/>
      <w:bookmarkEnd w:id="1"/>
      <w:r w:rsidRPr="000F568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Відповідно до </w:t>
      </w:r>
      <w:hyperlink r:id="rId5" w:tgtFrame="_blank" w:history="1">
        <w:r w:rsidRPr="000F5688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uk-UA"/>
          </w:rPr>
          <w:t>частини восьмої</w:t>
        </w:r>
      </w:hyperlink>
      <w:r w:rsidRPr="000F568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статті 2 Закону України “Про військовий обов’язок і військову службу” Кабінет Міністрів України </w:t>
      </w:r>
      <w:r w:rsidRPr="000F5688"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bdr w:val="none" w:sz="0" w:space="0" w:color="auto" w:frame="1"/>
          <w:lang w:eastAsia="uk-UA"/>
        </w:rPr>
        <w:t>постановляє:</w:t>
      </w:r>
    </w:p>
    <w:p w:rsidR="000F5688" w:rsidRPr="000F5688" w:rsidRDefault="000F5688" w:rsidP="000F568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" w:name="n5"/>
      <w:bookmarkEnd w:id="2"/>
      <w:r w:rsidRPr="000F568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1. Затвердити </w:t>
      </w:r>
      <w:hyperlink r:id="rId6" w:anchor="n10" w:history="1">
        <w:r w:rsidRPr="000F5688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bdr w:val="none" w:sz="0" w:space="0" w:color="auto" w:frame="1"/>
            <w:lang w:eastAsia="uk-UA"/>
          </w:rPr>
          <w:t>структуру військового резерву людських ресурсів</w:t>
        </w:r>
      </w:hyperlink>
      <w:r w:rsidRPr="000F568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згідно з додатком.</w:t>
      </w:r>
    </w:p>
    <w:p w:rsidR="000F5688" w:rsidRPr="000F5688" w:rsidRDefault="000F5688" w:rsidP="000F568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" w:name="n6"/>
      <w:bookmarkEnd w:id="3"/>
      <w:r w:rsidRPr="000F568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2. Визнати такою, що втратила чинність, </w:t>
      </w:r>
      <w:hyperlink r:id="rId7" w:tgtFrame="_blank" w:history="1">
        <w:r w:rsidRPr="000F5688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uk-UA"/>
          </w:rPr>
          <w:t>постанову Кабінету Міністрів України від 18 жовтня 2006 р. № 1426</w:t>
        </w:r>
      </w:hyperlink>
      <w:r w:rsidRPr="000F568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“Про структуру військового резерву людських ресурсів” (Офіційний вісник України, 2006 р., № 42, ст. 2805).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0"/>
        <w:gridCol w:w="6743"/>
      </w:tblGrid>
      <w:tr w:rsidR="000F5688" w:rsidRPr="000F5688" w:rsidTr="000F5688">
        <w:tc>
          <w:tcPr>
            <w:tcW w:w="1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5688" w:rsidRPr="000F5688" w:rsidRDefault="000F5688" w:rsidP="000F56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4" w:name="n8"/>
            <w:bookmarkEnd w:id="4"/>
            <w:r w:rsidRPr="000F5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Прем'єр-міністр України</w:t>
            </w:r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5688" w:rsidRPr="000F5688" w:rsidRDefault="000F5688" w:rsidP="000F56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F5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А.ЯЦЕНЮК</w:t>
            </w:r>
          </w:p>
        </w:tc>
      </w:tr>
      <w:tr w:rsidR="000F5688" w:rsidRPr="000F5688" w:rsidTr="000F568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5688" w:rsidRPr="000F5688" w:rsidRDefault="000F5688" w:rsidP="000F56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F5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Інд. 29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5688" w:rsidRPr="000F5688" w:rsidRDefault="000F5688" w:rsidP="000F56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F5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br/>
            </w:r>
          </w:p>
        </w:tc>
      </w:tr>
    </w:tbl>
    <w:p w:rsidR="000F5688" w:rsidRPr="000F5688" w:rsidRDefault="000F5688" w:rsidP="000F5688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5" w:name="n34"/>
      <w:bookmarkEnd w:id="5"/>
      <w:r w:rsidRPr="000F5688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025" style="width:0;height:0" o:hralign="center" o:hrstd="t" o:hrnoshade="t" o:hr="t" fillcolor="black" stroked="f"/>
        </w:pic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2"/>
        <w:gridCol w:w="4481"/>
      </w:tblGrid>
      <w:tr w:rsidR="000F5688" w:rsidRPr="000F5688" w:rsidTr="000F5688">
        <w:tc>
          <w:tcPr>
            <w:tcW w:w="2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5688" w:rsidRPr="000F5688" w:rsidRDefault="000F5688" w:rsidP="000F5688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6" w:name="n9"/>
            <w:bookmarkEnd w:id="6"/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5688" w:rsidRPr="000F5688" w:rsidRDefault="000F5688" w:rsidP="000F5688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F568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Додаток </w:t>
            </w:r>
            <w:r w:rsidRPr="000F568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до постанови Кабінету Міністрів України </w:t>
            </w:r>
            <w:r w:rsidRPr="000F568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від 12 листопада 2014 р. № 607</w:t>
            </w:r>
          </w:p>
        </w:tc>
      </w:tr>
    </w:tbl>
    <w:p w:rsidR="000F5688" w:rsidRPr="000F5688" w:rsidRDefault="000F5688" w:rsidP="000F5688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7" w:name="n10"/>
      <w:bookmarkEnd w:id="7"/>
      <w:r w:rsidRPr="000F568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uk-UA"/>
        </w:rPr>
        <w:t>СТРУКТУРА </w:t>
      </w:r>
      <w:r w:rsidRPr="000F568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0F568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uk-UA"/>
        </w:rPr>
        <w:t>військового резерву людських ресурсів</w:t>
      </w:r>
    </w:p>
    <w:p w:rsidR="000F5688" w:rsidRPr="000F5688" w:rsidRDefault="000F5688" w:rsidP="000F568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8" w:name="n11"/>
      <w:bookmarkEnd w:id="8"/>
      <w:r w:rsidRPr="000F568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1. Військовий резерв людських ресурсів складається з:</w:t>
      </w:r>
    </w:p>
    <w:p w:rsidR="000F5688" w:rsidRPr="000F5688" w:rsidRDefault="000F5688" w:rsidP="000F568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9" w:name="n12"/>
      <w:bookmarkEnd w:id="9"/>
      <w:r w:rsidRPr="000F568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1) резервістів, які у добровільному порядку уклали контракт на проходження служби у військовому резерві;</w:t>
      </w:r>
    </w:p>
    <w:p w:rsidR="000F5688" w:rsidRPr="000F5688" w:rsidRDefault="000F5688" w:rsidP="000F568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0" w:name="n13"/>
      <w:bookmarkEnd w:id="10"/>
      <w:r w:rsidRPr="000F568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2) військовозобов’язаних, які перебувають на військовому обліку у військових комісаріатах та в Центральному управлінні або регіональних органах Служби безпеки;</w:t>
      </w:r>
    </w:p>
    <w:p w:rsidR="000F5688" w:rsidRPr="000F5688" w:rsidRDefault="000F5688" w:rsidP="000F568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1" w:name="n14"/>
      <w:bookmarkEnd w:id="11"/>
      <w:r w:rsidRPr="000F568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3) громадян та громадських об’єднань, які на добровільних засадах займаються діяльністю щодо підтримання обороноздатності держави.</w:t>
      </w:r>
    </w:p>
    <w:p w:rsidR="000F5688" w:rsidRPr="000F5688" w:rsidRDefault="000F5688" w:rsidP="000F568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2" w:name="n15"/>
      <w:bookmarkEnd w:id="12"/>
      <w:r w:rsidRPr="000F568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2. Військовий резерв людських ресурсів поділяється за призначенням на:</w:t>
      </w:r>
    </w:p>
    <w:p w:rsidR="000F5688" w:rsidRPr="000F5688" w:rsidRDefault="000F5688" w:rsidP="000F568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3" w:name="n16"/>
      <w:bookmarkEnd w:id="13"/>
      <w:r w:rsidRPr="000F568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оперативний резерв;</w:t>
      </w:r>
    </w:p>
    <w:p w:rsidR="000F5688" w:rsidRPr="000F5688" w:rsidRDefault="000F5688" w:rsidP="000F568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4" w:name="n17"/>
      <w:bookmarkEnd w:id="14"/>
      <w:r w:rsidRPr="000F568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резерв посилення;</w:t>
      </w:r>
    </w:p>
    <w:p w:rsidR="000F5688" w:rsidRPr="000F5688" w:rsidRDefault="000F5688" w:rsidP="000F568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5" w:name="n18"/>
      <w:bookmarkEnd w:id="15"/>
      <w:r w:rsidRPr="000F568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громадський резерв.</w:t>
      </w:r>
    </w:p>
    <w:p w:rsidR="000F5688" w:rsidRPr="000F5688" w:rsidRDefault="000F5688" w:rsidP="000F568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6" w:name="n19"/>
      <w:bookmarkEnd w:id="16"/>
      <w:r w:rsidRPr="000F568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3. Оперативний резерв за черговістю залучення поділяється на:</w:t>
      </w:r>
    </w:p>
    <w:p w:rsidR="000F5688" w:rsidRPr="000F5688" w:rsidRDefault="000F5688" w:rsidP="000F568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7" w:name="n20"/>
      <w:bookmarkEnd w:id="17"/>
      <w:r w:rsidRPr="000F568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1) резерв першої черги. Складовими резерву першої черги є:</w:t>
      </w:r>
    </w:p>
    <w:p w:rsidR="000F5688" w:rsidRPr="000F5688" w:rsidRDefault="000F5688" w:rsidP="000F568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8" w:name="n21"/>
      <w:bookmarkEnd w:id="18"/>
      <w:r w:rsidRPr="000F568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резерв органів управління, військових частин, підрозділів Збройних Сил, інших утворених відповідно до законів України військових формувань, а також правоохоронних органів спеціального призначення та </w:t>
      </w:r>
      <w:proofErr w:type="spellStart"/>
      <w:r w:rsidRPr="000F568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Держспецтрансслужби</w:t>
      </w:r>
      <w:proofErr w:type="spellEnd"/>
      <w:r w:rsidRPr="000F568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(далі - Збройні Сили та інші військові формування), що включає резервістів, призначених для комплектування Збройних Сил та інших військових формувань, які прибувають для виконання обов’язків служби за викликом їх командирів (начальників) як в мирний час, так і в особливий період;</w:t>
      </w:r>
    </w:p>
    <w:p w:rsidR="000F5688" w:rsidRPr="000F5688" w:rsidRDefault="000F5688" w:rsidP="000F568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9" w:name="n22"/>
      <w:bookmarkEnd w:id="19"/>
      <w:r w:rsidRPr="000F568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територіальний резерв, до якого належать резервісти та військовозобов’язані, призначені для комплектування підрозділів територіальної оборони Збройних Сил;</w:t>
      </w:r>
    </w:p>
    <w:p w:rsidR="000F5688" w:rsidRPr="000F5688" w:rsidRDefault="000F5688" w:rsidP="000F568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0" w:name="n23"/>
      <w:bookmarkEnd w:id="20"/>
      <w:r w:rsidRPr="000F568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2) резерв другої черги, що включає військовозобов’язаних, призначених для комплектування Збройних Сил та інших військових формувань, які призиваються в особливий </w:t>
      </w:r>
      <w:r w:rsidRPr="000F568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>період військовими комісаріатами, Центральним управлінням або регіональними органами Служби безпеки.</w:t>
      </w:r>
    </w:p>
    <w:p w:rsidR="000F5688" w:rsidRPr="000F5688" w:rsidRDefault="000F5688" w:rsidP="000F568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1" w:name="n24"/>
      <w:bookmarkEnd w:id="21"/>
      <w:r w:rsidRPr="000F568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4. Резерв посилення включає військовозобов’язаних, які не ввійшли до оперативного </w:t>
      </w:r>
      <w:bookmarkStart w:id="22" w:name="_GoBack"/>
      <w:bookmarkEnd w:id="22"/>
      <w:r w:rsidRPr="000F568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резерву, але можуть бути залучені для комплектування Збройних Сил та інших військових формувань в особливий період.</w:t>
      </w:r>
    </w:p>
    <w:p w:rsidR="000F5688" w:rsidRPr="000F5688" w:rsidRDefault="000F5688" w:rsidP="000F568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3" w:name="n25"/>
      <w:bookmarkEnd w:id="23"/>
      <w:r w:rsidRPr="000F568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5. Громадський резерв включає громадян, які не мають вікових та фізичних обмежень щодо призову на військову службу та можуть бути залучені для комплектування Збройних Сил та інших військових формувань в особливий період.</w:t>
      </w:r>
    </w:p>
    <w:p w:rsidR="000F5688" w:rsidRPr="000F5688" w:rsidRDefault="000F5688" w:rsidP="000F568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4" w:name="n26"/>
      <w:bookmarkEnd w:id="24"/>
      <w:r w:rsidRPr="000F568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6. Військовий резерв людських ресурсів відповідно до військового обліку поділяється за:</w:t>
      </w:r>
    </w:p>
    <w:p w:rsidR="000F5688" w:rsidRPr="000F5688" w:rsidRDefault="000F5688" w:rsidP="000F568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5" w:name="n27"/>
      <w:bookmarkEnd w:id="25"/>
      <w:r w:rsidRPr="000F568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категоріями запасу;</w:t>
      </w:r>
    </w:p>
    <w:p w:rsidR="000F5688" w:rsidRPr="000F5688" w:rsidRDefault="000F5688" w:rsidP="000F568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6" w:name="n28"/>
      <w:bookmarkEnd w:id="26"/>
      <w:r w:rsidRPr="000F568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розрядами за віком військовозобов’язаних;</w:t>
      </w:r>
    </w:p>
    <w:p w:rsidR="000F5688" w:rsidRPr="000F5688" w:rsidRDefault="000F5688" w:rsidP="000F568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7" w:name="n29"/>
      <w:bookmarkEnd w:id="27"/>
      <w:r w:rsidRPr="000F568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військово-обліковою спеціальністю;</w:t>
      </w:r>
    </w:p>
    <w:p w:rsidR="000F5688" w:rsidRPr="000F5688" w:rsidRDefault="000F5688" w:rsidP="000F568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8" w:name="n30"/>
      <w:bookmarkEnd w:id="28"/>
      <w:r w:rsidRPr="000F568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ступенем придатності до проходження військової служби;</w:t>
      </w:r>
    </w:p>
    <w:p w:rsidR="000F5688" w:rsidRPr="000F5688" w:rsidRDefault="000F5688" w:rsidP="000F568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9" w:name="n31"/>
      <w:bookmarkEnd w:id="29"/>
      <w:r w:rsidRPr="000F568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місцем перебування на військовому обліку;</w:t>
      </w:r>
    </w:p>
    <w:p w:rsidR="000F5688" w:rsidRPr="000F5688" w:rsidRDefault="000F5688" w:rsidP="000F568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0" w:name="n32"/>
      <w:bookmarkEnd w:id="30"/>
      <w:r w:rsidRPr="000F568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досвідом проходження військової служби.</w:t>
      </w:r>
    </w:p>
    <w:p w:rsidR="00984D5C" w:rsidRDefault="00984D5C"/>
    <w:sectPr w:rsidR="00984D5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688"/>
    <w:rsid w:val="000F5688"/>
    <w:rsid w:val="0098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929D5D-09B6-495B-BDF7-F949E68F0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0F5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7">
    <w:name w:val="rvps17"/>
    <w:basedOn w:val="a"/>
    <w:rsid w:val="000F5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0F5688"/>
  </w:style>
  <w:style w:type="character" w:customStyle="1" w:styleId="apple-converted-space">
    <w:name w:val="apple-converted-space"/>
    <w:basedOn w:val="a0"/>
    <w:rsid w:val="000F5688"/>
  </w:style>
  <w:style w:type="character" w:customStyle="1" w:styleId="rvts64">
    <w:name w:val="rvts64"/>
    <w:basedOn w:val="a0"/>
    <w:rsid w:val="000F5688"/>
  </w:style>
  <w:style w:type="character" w:customStyle="1" w:styleId="rvts9">
    <w:name w:val="rvts9"/>
    <w:basedOn w:val="a0"/>
    <w:rsid w:val="000F5688"/>
  </w:style>
  <w:style w:type="paragraph" w:customStyle="1" w:styleId="rvps6">
    <w:name w:val="rvps6"/>
    <w:basedOn w:val="a"/>
    <w:rsid w:val="000F5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0F5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0F5688"/>
    <w:rPr>
      <w:color w:val="0000FF"/>
      <w:u w:val="single"/>
    </w:rPr>
  </w:style>
  <w:style w:type="character" w:customStyle="1" w:styleId="rvts52">
    <w:name w:val="rvts52"/>
    <w:basedOn w:val="a0"/>
    <w:rsid w:val="000F5688"/>
  </w:style>
  <w:style w:type="paragraph" w:customStyle="1" w:styleId="rvps4">
    <w:name w:val="rvps4"/>
    <w:basedOn w:val="a"/>
    <w:rsid w:val="000F5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4">
    <w:name w:val="rvts44"/>
    <w:basedOn w:val="a0"/>
    <w:rsid w:val="000F5688"/>
  </w:style>
  <w:style w:type="paragraph" w:customStyle="1" w:styleId="rvps15">
    <w:name w:val="rvps15"/>
    <w:basedOn w:val="a"/>
    <w:rsid w:val="000F5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4">
    <w:name w:val="rvps14"/>
    <w:basedOn w:val="a"/>
    <w:rsid w:val="000F5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2">
    <w:name w:val="rvps12"/>
    <w:basedOn w:val="a"/>
    <w:rsid w:val="000F5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9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89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0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6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9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996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52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zakon4.rada.gov.ua/laws/show/1426-2006-%D0%B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4.rada.gov.ua/laws/show/607-2014-%D0%BF" TargetMode="External"/><Relationship Id="rId5" Type="http://schemas.openxmlformats.org/officeDocument/2006/relationships/hyperlink" Target="http://zakon4.rada.gov.ua/laws/show/2232-12" TargetMode="External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2131</Words>
  <Characters>1216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Home-PC</dc:creator>
  <cp:keywords/>
  <dc:description/>
  <cp:lastModifiedBy>Home-PC</cp:lastModifiedBy>
  <cp:revision>1</cp:revision>
  <dcterms:created xsi:type="dcterms:W3CDTF">2015-03-30T18:39:00Z</dcterms:created>
  <dcterms:modified xsi:type="dcterms:W3CDTF">2015-03-30T18:40:00Z</dcterms:modified>
</cp:coreProperties>
</file>