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C" w:rsidRDefault="0084587C" w:rsidP="00F01022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7C" w:rsidRDefault="0084587C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84587C" w:rsidRDefault="0084587C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84587C" w:rsidRDefault="0084587C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4587C" w:rsidRDefault="0084587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4587C" w:rsidRDefault="0084587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4587C" w:rsidRDefault="0084587C" w:rsidP="008458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="00212800">
        <w:rPr>
          <w:rFonts w:ascii="Times New Roman" w:hAnsi="Times New Roman" w:cs="Times New Roman"/>
          <w:sz w:val="28"/>
          <w:szCs w:val="28"/>
        </w:rPr>
        <w:t xml:space="preserve"> № 174</w:t>
      </w:r>
    </w:p>
    <w:p w:rsidR="0084587C" w:rsidRDefault="0084587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4587C" w:rsidRDefault="00212800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23 </w:t>
      </w:r>
      <w:bookmarkStart w:id="0" w:name="_GoBack"/>
      <w:bookmarkEnd w:id="0"/>
      <w:r w:rsidR="0084587C">
        <w:rPr>
          <w:sz w:val="28"/>
          <w:szCs w:val="28"/>
          <w:lang w:val="uk-UA"/>
        </w:rPr>
        <w:t>грудня</w:t>
      </w:r>
      <w:r w:rsidR="0084587C">
        <w:rPr>
          <w:sz w:val="28"/>
          <w:szCs w:val="28"/>
        </w:rPr>
        <w:t xml:space="preserve"> 2016 року                                                            </w:t>
      </w:r>
      <w:r w:rsidR="0084587C">
        <w:rPr>
          <w:sz w:val="28"/>
          <w:szCs w:val="28"/>
          <w:lang w:val="uk-UA"/>
        </w:rPr>
        <w:t xml:space="preserve">       </w:t>
      </w:r>
      <w:r w:rsidR="0084587C">
        <w:rPr>
          <w:sz w:val="28"/>
          <w:szCs w:val="28"/>
        </w:rPr>
        <w:t xml:space="preserve">  </w:t>
      </w:r>
      <w:r w:rsidR="0084587C">
        <w:rPr>
          <w:sz w:val="28"/>
          <w:szCs w:val="28"/>
          <w:lang w:val="uk-UA"/>
        </w:rPr>
        <w:t>9</w:t>
      </w:r>
      <w:r w:rsidR="0084587C">
        <w:rPr>
          <w:sz w:val="28"/>
          <w:szCs w:val="28"/>
        </w:rPr>
        <w:t xml:space="preserve"> </w:t>
      </w:r>
      <w:proofErr w:type="spellStart"/>
      <w:r w:rsidR="0084587C">
        <w:rPr>
          <w:sz w:val="28"/>
          <w:szCs w:val="28"/>
        </w:rPr>
        <w:t>сесія</w:t>
      </w:r>
      <w:proofErr w:type="spellEnd"/>
      <w:r w:rsidR="0084587C">
        <w:rPr>
          <w:sz w:val="28"/>
          <w:szCs w:val="28"/>
        </w:rPr>
        <w:t xml:space="preserve"> 7 </w:t>
      </w:r>
      <w:proofErr w:type="spellStart"/>
      <w:r w:rsidR="0084587C">
        <w:rPr>
          <w:sz w:val="28"/>
          <w:szCs w:val="28"/>
        </w:rPr>
        <w:t>скликання</w:t>
      </w:r>
      <w:proofErr w:type="spellEnd"/>
      <w:r w:rsidR="0084587C">
        <w:rPr>
          <w:color w:val="000000"/>
          <w:sz w:val="28"/>
          <w:szCs w:val="28"/>
        </w:rPr>
        <w:t xml:space="preserve"> </w:t>
      </w:r>
    </w:p>
    <w:p w:rsidR="0084587C" w:rsidRDefault="0084587C" w:rsidP="0084587C">
      <w:pPr>
        <w:rPr>
          <w:b/>
          <w:sz w:val="28"/>
          <w:szCs w:val="28"/>
          <w:lang w:val="uk-UA"/>
        </w:rPr>
      </w:pPr>
    </w:p>
    <w:p w:rsidR="0084587C" w:rsidRDefault="0084587C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 w:rsidR="0021280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з сільських </w:t>
      </w:r>
      <w:r w:rsidR="00512B23">
        <w:rPr>
          <w:b/>
          <w:sz w:val="28"/>
          <w:szCs w:val="28"/>
          <w:lang w:val="uk-UA"/>
        </w:rPr>
        <w:t xml:space="preserve"> та селищного </w:t>
      </w:r>
      <w:r>
        <w:rPr>
          <w:b/>
          <w:sz w:val="28"/>
          <w:szCs w:val="28"/>
          <w:lang w:val="uk-UA"/>
        </w:rPr>
        <w:t>бюджетів до районного бюджету</w:t>
      </w:r>
    </w:p>
    <w:p w:rsidR="0084587C" w:rsidRDefault="00212800" w:rsidP="0084587C">
      <w:pPr>
        <w:jc w:val="center"/>
        <w:rPr>
          <w:b/>
          <w:sz w:val="28"/>
          <w:szCs w:val="28"/>
          <w:lang w:val="uk-UA"/>
        </w:rPr>
      </w:pPr>
      <w:r w:rsidRPr="00212800">
        <w:rPr>
          <w:b/>
          <w:sz w:val="28"/>
          <w:szCs w:val="28"/>
          <w:lang w:val="uk-UA"/>
        </w:rPr>
        <w:t>у 2017 році</w:t>
      </w:r>
    </w:p>
    <w:p w:rsidR="00212800" w:rsidRPr="00212800" w:rsidRDefault="00212800" w:rsidP="0084587C">
      <w:pPr>
        <w:jc w:val="center"/>
        <w:rPr>
          <w:b/>
          <w:sz w:val="28"/>
          <w:szCs w:val="28"/>
          <w:lang w:val="uk-UA"/>
        </w:rPr>
      </w:pPr>
    </w:p>
    <w:p w:rsidR="0084587C" w:rsidRDefault="0084587C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512B23" w:rsidRDefault="00512B23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84587C" w:rsidRDefault="0084587C" w:rsidP="0084587C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2017 рік  на утримання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центру соціальних служб для сім’ї, дітей та молоді, районної організації ВФСТ «Колос» АПК України, на виконання програм: «Районна програма збереження архівних фондів на 2016-2017 роки», «Районна комплексна програма забезпечення розвитку і надання інформаційних послуг населенню району на 2016-2017 роки»   на загальну суму  544,648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color w:val="993300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ис.грн</w:t>
      </w:r>
      <w:proofErr w:type="spellEnd"/>
      <w:r>
        <w:rPr>
          <w:sz w:val="28"/>
          <w:szCs w:val="28"/>
          <w:lang w:val="uk-UA"/>
        </w:rPr>
        <w:t xml:space="preserve">, районній раді у вигляді міжбюджетного трансферту до районного бюджету з бюджетів сіл і селища,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 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)</w:t>
      </w:r>
    </w:p>
    <w:p w:rsidR="00212800" w:rsidRPr="0084587C" w:rsidRDefault="00212800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Берізко-Чечельницька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-14,0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-  3,0</w:t>
            </w:r>
          </w:p>
        </w:tc>
      </w:tr>
      <w:tr w:rsidR="0084587C" w:rsidTr="0084587C">
        <w:trPr>
          <w:trHeight w:val="32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</w:t>
            </w:r>
            <w:r w:rsidR="004A0803">
              <w:rPr>
                <w:sz w:val="28"/>
                <w:szCs w:val="28"/>
                <w:lang w:val="uk-UA"/>
              </w:rPr>
              <w:t xml:space="preserve">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- 29,5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26,3</w:t>
            </w:r>
          </w:p>
        </w:tc>
      </w:tr>
      <w:tr w:rsidR="0084587C" w:rsidTr="0084587C">
        <w:trPr>
          <w:trHeight w:val="24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41,2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A0803"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71,2</w:t>
            </w:r>
          </w:p>
        </w:tc>
      </w:tr>
      <w:tr w:rsidR="0084587C" w:rsidTr="0084587C">
        <w:trPr>
          <w:trHeight w:val="28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41,1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16,8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19,8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</w:t>
            </w:r>
            <w:r w:rsidR="004A0803">
              <w:rPr>
                <w:sz w:val="28"/>
                <w:szCs w:val="28"/>
                <w:lang w:val="uk-UA"/>
              </w:rPr>
              <w:t xml:space="preserve">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>-</w:t>
            </w:r>
            <w:r w:rsidR="004A08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54,5 </w:t>
            </w:r>
          </w:p>
        </w:tc>
      </w:tr>
      <w:tr w:rsidR="0084587C" w:rsidTr="0084587C">
        <w:trPr>
          <w:trHeight w:val="40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43,5</w:t>
            </w:r>
          </w:p>
        </w:tc>
      </w:tr>
      <w:tr w:rsidR="0084587C" w:rsidTr="0084587C">
        <w:trPr>
          <w:trHeight w:val="34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37,8</w:t>
            </w:r>
          </w:p>
        </w:tc>
      </w:tr>
      <w:tr w:rsidR="0084587C" w:rsidTr="0084587C"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 w:rsidR="004A0803">
              <w:rPr>
                <w:sz w:val="28"/>
                <w:szCs w:val="28"/>
                <w:lang w:val="uk-UA"/>
              </w:rPr>
              <w:t xml:space="preserve">     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35,648</w:t>
            </w:r>
          </w:p>
        </w:tc>
      </w:tr>
      <w:tr w:rsidR="0084587C" w:rsidTr="0084587C">
        <w:trPr>
          <w:trHeight w:val="240"/>
        </w:trPr>
        <w:tc>
          <w:tcPr>
            <w:tcW w:w="9571" w:type="dxa"/>
            <w:hideMark/>
          </w:tcPr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 w:rsidR="004A0803">
              <w:rPr>
                <w:sz w:val="28"/>
                <w:szCs w:val="28"/>
                <w:lang w:val="uk-UA"/>
              </w:rPr>
              <w:t xml:space="preserve">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A08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26,3 </w:t>
            </w:r>
          </w:p>
          <w:p w:rsidR="0084587C" w:rsidRDefault="0084587C" w:rsidP="00212800">
            <w:pPr>
              <w:tabs>
                <w:tab w:val="left" w:pos="637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</w:t>
            </w:r>
            <w:r w:rsidR="004A0803">
              <w:rPr>
                <w:sz w:val="28"/>
                <w:szCs w:val="28"/>
                <w:lang w:val="uk-UA"/>
              </w:rPr>
              <w:t xml:space="preserve">               </w:t>
            </w:r>
            <w:r w:rsidR="0021280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A080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84,0 </w:t>
            </w:r>
          </w:p>
        </w:tc>
      </w:tr>
    </w:tbl>
    <w:p w:rsidR="0084587C" w:rsidRPr="0084587C" w:rsidRDefault="0084587C" w:rsidP="0084587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договір між районною радою та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селищною радою про обслуговування районними закладами культури (районним будинком культури, районними бібліотеками для дорослих та дітей) жителів, які проживають на території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 w:rsidR="004A08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 в кількості 5070 чол. з 1 січня</w:t>
      </w:r>
      <w:r w:rsidR="00F161E1">
        <w:rPr>
          <w:sz w:val="28"/>
          <w:szCs w:val="28"/>
          <w:lang w:val="uk-UA"/>
        </w:rPr>
        <w:t xml:space="preserve"> </w:t>
      </w:r>
      <w:r w:rsidR="00212800">
        <w:rPr>
          <w:sz w:val="28"/>
          <w:szCs w:val="28"/>
          <w:lang w:val="uk-UA"/>
        </w:rPr>
        <w:t xml:space="preserve">  </w:t>
      </w:r>
      <w:r w:rsidR="00F161E1">
        <w:rPr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по 31 грудня 2017 року та врахувати вказану кількість жителів при розрахунку обсягу загального фонду видатків районного бюджету.</w:t>
      </w:r>
    </w:p>
    <w:p w:rsidR="0084587C" w:rsidRDefault="0084587C" w:rsidP="0084587C">
      <w:pPr>
        <w:rPr>
          <w:b/>
          <w:sz w:val="28"/>
          <w:szCs w:val="28"/>
          <w:lang w:val="uk-UA"/>
        </w:rPr>
      </w:pPr>
    </w:p>
    <w:p w:rsidR="0084587C" w:rsidRPr="0084587C" w:rsidRDefault="0084587C" w:rsidP="00212800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затвердженні   районного  бюджету на 2017 рік передбачити видатки на функціонування  закладів культури (районний будинок культури, районні бібліотеки для дорослих та дітей),</w:t>
      </w:r>
      <w:r w:rsidR="004A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обслуговують  жителів, які проживають на території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 w:rsidR="004A08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4587C" w:rsidRDefault="0084587C" w:rsidP="0084587C">
      <w:pPr>
        <w:ind w:firstLine="709"/>
        <w:jc w:val="both"/>
        <w:rPr>
          <w:sz w:val="28"/>
          <w:szCs w:val="28"/>
          <w:lang w:val="uk-UA"/>
        </w:rPr>
      </w:pPr>
    </w:p>
    <w:p w:rsidR="0084587C" w:rsidRDefault="0084587C" w:rsidP="0084587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4587C" w:rsidRDefault="0084587C" w:rsidP="0084587C">
      <w:pPr>
        <w:jc w:val="both"/>
        <w:rPr>
          <w:sz w:val="28"/>
          <w:szCs w:val="28"/>
          <w:lang w:val="uk-UA"/>
        </w:rPr>
      </w:pPr>
    </w:p>
    <w:p w:rsidR="0084587C" w:rsidRDefault="0084587C" w:rsidP="0084587C">
      <w:pPr>
        <w:jc w:val="both"/>
        <w:rPr>
          <w:sz w:val="28"/>
          <w:szCs w:val="28"/>
          <w:lang w:val="uk-UA"/>
        </w:rPr>
      </w:pPr>
    </w:p>
    <w:p w:rsidR="0084587C" w:rsidRDefault="0084587C" w:rsidP="0084587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4587C" w:rsidRDefault="0084587C" w:rsidP="0084587C">
      <w:pPr>
        <w:jc w:val="both"/>
        <w:rPr>
          <w:sz w:val="28"/>
          <w:szCs w:val="28"/>
          <w:lang w:val="uk-UA"/>
        </w:rPr>
      </w:pPr>
    </w:p>
    <w:p w:rsidR="0084587C" w:rsidRDefault="0084587C" w:rsidP="0084587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4587C" w:rsidRDefault="0084587C" w:rsidP="0084587C">
      <w:pPr>
        <w:jc w:val="both"/>
        <w:rPr>
          <w:lang w:val="uk-UA"/>
        </w:rPr>
      </w:pPr>
    </w:p>
    <w:p w:rsidR="0084587C" w:rsidRDefault="0084587C" w:rsidP="0084587C">
      <w:pPr>
        <w:jc w:val="both"/>
        <w:rPr>
          <w:lang w:val="uk-UA"/>
        </w:rPr>
      </w:pPr>
    </w:p>
    <w:p w:rsidR="00416447" w:rsidRPr="0084587C" w:rsidRDefault="00416447">
      <w:pPr>
        <w:rPr>
          <w:lang w:val="uk-UA"/>
        </w:rPr>
      </w:pPr>
    </w:p>
    <w:sectPr w:rsidR="00416447" w:rsidRPr="0084587C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212800"/>
    <w:rsid w:val="00416447"/>
    <w:rsid w:val="004A0803"/>
    <w:rsid w:val="00512B23"/>
    <w:rsid w:val="0084587C"/>
    <w:rsid w:val="00F01022"/>
    <w:rsid w:val="00F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8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8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4587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5">
    <w:name w:val="Table Grid"/>
    <w:basedOn w:val="a1"/>
    <w:rsid w:val="008458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8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8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4587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5">
    <w:name w:val="Table Grid"/>
    <w:basedOn w:val="a1"/>
    <w:rsid w:val="008458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2016-12-22T13:50:00Z</dcterms:created>
  <dcterms:modified xsi:type="dcterms:W3CDTF">2016-12-26T09:00:00Z</dcterms:modified>
</cp:coreProperties>
</file>