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E1" w:rsidRDefault="008D6DE1" w:rsidP="008D6DE1">
      <w:pPr>
        <w:pStyle w:val="a4"/>
        <w:ind w:left="708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ab/>
      </w:r>
    </w:p>
    <w:p w:rsidR="008D6DE1" w:rsidRDefault="008D6DE1" w:rsidP="008D6DE1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DE1" w:rsidRDefault="008D6DE1" w:rsidP="008D6DE1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8D6DE1" w:rsidRDefault="008D6DE1" w:rsidP="008D6DE1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8D6DE1" w:rsidRDefault="008D6DE1" w:rsidP="008D6DE1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  <w:r w:rsidR="001E5E03">
        <w:rPr>
          <w:b/>
          <w:szCs w:val="28"/>
        </w:rPr>
        <w:t>№ 187</w:t>
      </w:r>
      <w:bookmarkStart w:id="0" w:name="_GoBack"/>
      <w:bookmarkEnd w:id="0"/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8D6DE1" w:rsidRDefault="006F15AC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23 </w:t>
      </w:r>
      <w:r w:rsidR="008D6DE1">
        <w:rPr>
          <w:sz w:val="28"/>
          <w:szCs w:val="28"/>
          <w:lang w:val="uk-UA"/>
        </w:rPr>
        <w:t xml:space="preserve"> грудня </w:t>
      </w:r>
      <w:r w:rsidR="008D6DE1">
        <w:rPr>
          <w:sz w:val="28"/>
          <w:szCs w:val="28"/>
        </w:rPr>
        <w:t xml:space="preserve">2016 року                                                       </w:t>
      </w:r>
      <w:r w:rsidR="008D6DE1">
        <w:rPr>
          <w:sz w:val="28"/>
          <w:szCs w:val="28"/>
          <w:lang w:val="uk-UA"/>
        </w:rPr>
        <w:t xml:space="preserve">            </w:t>
      </w:r>
      <w:r w:rsidR="008D6DE1">
        <w:rPr>
          <w:sz w:val="28"/>
          <w:szCs w:val="28"/>
        </w:rPr>
        <w:t xml:space="preserve"> </w:t>
      </w:r>
      <w:r w:rsidR="008D6DE1">
        <w:rPr>
          <w:sz w:val="28"/>
          <w:szCs w:val="28"/>
          <w:lang w:val="uk-UA"/>
        </w:rPr>
        <w:t xml:space="preserve"> 9 </w:t>
      </w:r>
      <w:proofErr w:type="spellStart"/>
      <w:r w:rsidR="008D6DE1">
        <w:rPr>
          <w:sz w:val="28"/>
          <w:szCs w:val="28"/>
        </w:rPr>
        <w:t>сесія</w:t>
      </w:r>
      <w:proofErr w:type="spellEnd"/>
      <w:r w:rsidR="008D6DE1">
        <w:rPr>
          <w:sz w:val="28"/>
          <w:szCs w:val="28"/>
        </w:rPr>
        <w:t xml:space="preserve"> 7 </w:t>
      </w:r>
      <w:proofErr w:type="spellStart"/>
      <w:r w:rsidR="008D6DE1">
        <w:rPr>
          <w:sz w:val="28"/>
          <w:szCs w:val="28"/>
        </w:rPr>
        <w:t>скликання</w:t>
      </w:r>
      <w:proofErr w:type="spellEnd"/>
      <w:r w:rsidR="008D6DE1">
        <w:rPr>
          <w:color w:val="000000"/>
          <w:sz w:val="28"/>
          <w:szCs w:val="28"/>
        </w:rPr>
        <w:t xml:space="preserve"> </w:t>
      </w:r>
    </w:p>
    <w:p w:rsidR="008D6DE1" w:rsidRDefault="008D6DE1" w:rsidP="008D6DE1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технічної документації з нормативної </w:t>
      </w:r>
    </w:p>
    <w:p w:rsidR="008D6DE1" w:rsidRDefault="008D6DE1" w:rsidP="008D6DE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грошової оцінки земельної ділянки гр. </w:t>
      </w:r>
      <w:proofErr w:type="spellStart"/>
      <w:r>
        <w:rPr>
          <w:b/>
          <w:sz w:val="28"/>
          <w:szCs w:val="28"/>
          <w:lang w:val="uk-UA"/>
        </w:rPr>
        <w:t>Стефанець</w:t>
      </w:r>
      <w:proofErr w:type="spellEnd"/>
      <w:r>
        <w:rPr>
          <w:b/>
          <w:sz w:val="28"/>
          <w:szCs w:val="28"/>
          <w:lang w:val="uk-UA"/>
        </w:rPr>
        <w:t xml:space="preserve"> М.М.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Чечельницькому</w:t>
      </w:r>
      <w:proofErr w:type="spellEnd"/>
      <w:r>
        <w:rPr>
          <w:sz w:val="28"/>
          <w:szCs w:val="28"/>
          <w:lang w:val="uk-UA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</w:t>
      </w:r>
      <w:r w:rsidR="001629E4">
        <w:rPr>
          <w:sz w:val="28"/>
          <w:szCs w:val="28"/>
          <w:lang w:val="uk-UA"/>
        </w:rPr>
        <w:t xml:space="preserve">ельної ділянки </w:t>
      </w:r>
      <w:proofErr w:type="spellStart"/>
      <w:r w:rsidR="001629E4">
        <w:rPr>
          <w:sz w:val="28"/>
          <w:szCs w:val="28"/>
          <w:lang w:val="uk-UA"/>
        </w:rPr>
        <w:t>гр.Стефанець</w:t>
      </w:r>
      <w:proofErr w:type="spellEnd"/>
      <w:r w:rsidR="001629E4">
        <w:rPr>
          <w:sz w:val="28"/>
          <w:szCs w:val="28"/>
          <w:lang w:val="uk-UA"/>
        </w:rPr>
        <w:t xml:space="preserve"> Марії </w:t>
      </w:r>
      <w:r>
        <w:rPr>
          <w:sz w:val="28"/>
          <w:szCs w:val="28"/>
          <w:lang w:val="uk-UA"/>
        </w:rPr>
        <w:t>М</w:t>
      </w:r>
      <w:r w:rsidR="001629E4">
        <w:rPr>
          <w:sz w:val="28"/>
          <w:szCs w:val="28"/>
          <w:lang w:val="uk-UA"/>
        </w:rPr>
        <w:t>ихайлівни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proofErr w:type="spellStart"/>
      <w:r w:rsidR="00ED5976">
        <w:rPr>
          <w:sz w:val="28"/>
          <w:szCs w:val="28"/>
          <w:lang w:val="uk-UA"/>
        </w:rPr>
        <w:t>Червоногребельської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</w:t>
      </w:r>
      <w:r w:rsidR="00ED5976">
        <w:rPr>
          <w:sz w:val="28"/>
          <w:szCs w:val="28"/>
          <w:lang w:val="uk-UA"/>
        </w:rPr>
        <w:t>цької області загальною площею 1</w:t>
      </w:r>
      <w:r>
        <w:rPr>
          <w:sz w:val="28"/>
          <w:szCs w:val="28"/>
          <w:lang w:val="uk-UA"/>
        </w:rPr>
        <w:t>,</w:t>
      </w:r>
      <w:r w:rsidR="00ED5976">
        <w:rPr>
          <w:sz w:val="28"/>
          <w:szCs w:val="28"/>
          <w:lang w:val="uk-UA"/>
        </w:rPr>
        <w:t xml:space="preserve">9143 </w:t>
      </w:r>
      <w:r>
        <w:rPr>
          <w:sz w:val="28"/>
          <w:szCs w:val="28"/>
          <w:lang w:val="uk-UA"/>
        </w:rPr>
        <w:t xml:space="preserve">га, нормативна грошова оцінка земельної ділянки становить </w:t>
      </w:r>
      <w:r w:rsidR="0089511E">
        <w:rPr>
          <w:sz w:val="28"/>
          <w:szCs w:val="28"/>
          <w:lang w:val="uk-UA"/>
        </w:rPr>
        <w:t>106 646</w:t>
      </w:r>
      <w:r>
        <w:rPr>
          <w:sz w:val="28"/>
          <w:szCs w:val="28"/>
          <w:lang w:val="uk-UA"/>
        </w:rPr>
        <w:t xml:space="preserve"> грн.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 протягом місяця.</w:t>
      </w:r>
    </w:p>
    <w:p w:rsidR="008D6DE1" w:rsidRDefault="008D6DE1" w:rsidP="008D6DE1">
      <w:pPr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8D6DE1" w:rsidRDefault="008D6DE1" w:rsidP="008D6DE1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E4678A" w:rsidRDefault="00E4678A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60B1653C" wp14:editId="1085A6FC">
            <wp:extent cx="6120130" cy="87895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8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8A" w:rsidRDefault="00E4678A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E4678A" w:rsidRDefault="00E4678A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E4678A" w:rsidRDefault="00E4678A" w:rsidP="002325AA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noProof/>
          <w:sz w:val="24"/>
          <w:szCs w:val="24"/>
          <w:lang w:val="uk-UA" w:eastAsia="uk-UA"/>
        </w:rPr>
        <w:lastRenderedPageBreak/>
        <w:drawing>
          <wp:inline distT="0" distB="0" distL="0" distR="0" wp14:anchorId="6174B4BE" wp14:editId="5546B8E3">
            <wp:extent cx="6120130" cy="909399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093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984" w:rsidRPr="002325AA" w:rsidRDefault="008D6DE1" w:rsidP="002325AA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</w:p>
    <w:sectPr w:rsidR="00360984" w:rsidRPr="002325AA" w:rsidSect="008D6DE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E1"/>
    <w:rsid w:val="001629E4"/>
    <w:rsid w:val="001E5E03"/>
    <w:rsid w:val="002325AA"/>
    <w:rsid w:val="00360984"/>
    <w:rsid w:val="006F15AC"/>
    <w:rsid w:val="0089511E"/>
    <w:rsid w:val="008D6DE1"/>
    <w:rsid w:val="00E4678A"/>
    <w:rsid w:val="00ED5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46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8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D6DE1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D6D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6DE1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8D6DE1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467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78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4</cp:revision>
  <dcterms:created xsi:type="dcterms:W3CDTF">2016-12-21T14:38:00Z</dcterms:created>
  <dcterms:modified xsi:type="dcterms:W3CDTF">2016-12-23T13:04:00Z</dcterms:modified>
</cp:coreProperties>
</file>