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CB" w:rsidRDefault="007C78CB" w:rsidP="007C78CB">
      <w:pPr>
        <w:pStyle w:val="a4"/>
        <w:tabs>
          <w:tab w:val="left" w:pos="709"/>
        </w:tabs>
        <w:rPr>
          <w:sz w:val="28"/>
          <w:lang w:val="uk-UA"/>
        </w:rPr>
      </w:pPr>
    </w:p>
    <w:p w:rsidR="007C78CB" w:rsidRDefault="007C78CB" w:rsidP="007C78CB">
      <w:pPr>
        <w:pStyle w:val="a4"/>
        <w:tabs>
          <w:tab w:val="left" w:pos="709"/>
        </w:tabs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8CB" w:rsidRDefault="007C78CB" w:rsidP="007C78CB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</w:rPr>
        <w:t xml:space="preserve">                                                                                  </w:t>
      </w:r>
    </w:p>
    <w:p w:rsidR="007C78CB" w:rsidRDefault="007C78CB" w:rsidP="007C78C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7C78CB" w:rsidRDefault="007C78CB" w:rsidP="007C78C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C78CB" w:rsidRDefault="007C78CB" w:rsidP="007C78C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7C78CB" w:rsidRDefault="007C78CB" w:rsidP="007C78C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7C78CB" w:rsidRDefault="007C78CB" w:rsidP="007C78C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7C78CB" w:rsidRDefault="007C78CB" w:rsidP="007C78CB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 № 370</w:t>
      </w:r>
    </w:p>
    <w:p w:rsidR="007C78CB" w:rsidRDefault="007C78CB" w:rsidP="007C78C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7C78CB" w:rsidRDefault="007C78CB" w:rsidP="007C78C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18</w:t>
      </w:r>
      <w:r>
        <w:rPr>
          <w:sz w:val="16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травня </w:t>
      </w:r>
      <w:r>
        <w:rPr>
          <w:sz w:val="16"/>
          <w:lang w:val="uk-UA"/>
        </w:rPr>
        <w:t xml:space="preserve"> </w:t>
      </w:r>
      <w:r>
        <w:rPr>
          <w:sz w:val="28"/>
          <w:szCs w:val="28"/>
          <w:lang w:val="uk-UA"/>
        </w:rPr>
        <w:t>2018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19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7C78CB" w:rsidRDefault="007C78CB" w:rsidP="007C78CB">
      <w:pPr>
        <w:rPr>
          <w:b/>
          <w:sz w:val="28"/>
          <w:szCs w:val="28"/>
          <w:lang w:val="uk-UA"/>
        </w:rPr>
      </w:pPr>
    </w:p>
    <w:p w:rsidR="007C78CB" w:rsidRDefault="007C78CB" w:rsidP="007C78CB">
      <w:pPr>
        <w:rPr>
          <w:b/>
          <w:sz w:val="28"/>
          <w:szCs w:val="28"/>
          <w:lang w:val="uk-UA"/>
        </w:rPr>
      </w:pPr>
    </w:p>
    <w:p w:rsidR="007C78CB" w:rsidRDefault="007C78CB" w:rsidP="007C78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 та селищного бюджетів до районного бюджету</w:t>
      </w:r>
    </w:p>
    <w:p w:rsidR="007C78CB" w:rsidRDefault="007C78CB" w:rsidP="007C78CB">
      <w:pPr>
        <w:jc w:val="center"/>
        <w:rPr>
          <w:b/>
          <w:sz w:val="28"/>
          <w:szCs w:val="28"/>
          <w:lang w:val="uk-UA"/>
        </w:rPr>
      </w:pPr>
    </w:p>
    <w:p w:rsidR="007C78CB" w:rsidRDefault="007C78CB" w:rsidP="007C78CB">
      <w:pPr>
        <w:tabs>
          <w:tab w:val="left" w:pos="4680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17 частини 1 статті 43 Закону України «Про місцеве самоврядування в Україні», статей 93, 101, 104 Бюджетного кодексу України,  враховуючи клопотання фінансового управління районної державної 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7C78CB" w:rsidRDefault="007C78CB" w:rsidP="007C78CB">
      <w:pPr>
        <w:tabs>
          <w:tab w:val="left" w:pos="4680"/>
        </w:tabs>
        <w:ind w:firstLine="709"/>
        <w:jc w:val="both"/>
        <w:rPr>
          <w:b/>
          <w:sz w:val="28"/>
          <w:szCs w:val="28"/>
          <w:lang w:val="uk-UA"/>
        </w:rPr>
      </w:pPr>
    </w:p>
    <w:p w:rsidR="007C78CB" w:rsidRDefault="007C78CB" w:rsidP="007C78CB">
      <w:pPr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договори про передачу коштів іншої субвенції на реконструкцію КЗ «</w:t>
      </w:r>
      <w:proofErr w:type="spellStart"/>
      <w:r>
        <w:rPr>
          <w:sz w:val="28"/>
          <w:szCs w:val="28"/>
          <w:lang w:val="uk-UA"/>
        </w:rPr>
        <w:t>Жабокрицька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ЗШ І-ІІ ст.» під навчально-виховний комплекс, на оплату поточних видатків,  заробітну плату з нарахуваннями,  харчування дітей для КЗ «</w:t>
      </w:r>
      <w:proofErr w:type="spellStart"/>
      <w:r>
        <w:rPr>
          <w:sz w:val="28"/>
          <w:szCs w:val="28"/>
          <w:lang w:val="uk-UA"/>
        </w:rPr>
        <w:t>Жабокрицький</w:t>
      </w:r>
      <w:proofErr w:type="spellEnd"/>
      <w:r>
        <w:rPr>
          <w:sz w:val="28"/>
          <w:szCs w:val="28"/>
          <w:lang w:val="uk-UA"/>
        </w:rPr>
        <w:t xml:space="preserve"> НВК», центру соціальних служб для сім’ї, дітей та молоді для утримання фахівців із соціальної роботи, на утримання КУ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районний трудовий архів», придбання медикаментів, предметів та матеріалів  для КЗ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РЦ ПМСД», відділу освіти для КЗ 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СЗШ І-ІІІ ст. № 1» на заміну дверей,       КЗ «</w:t>
      </w:r>
      <w:proofErr w:type="spellStart"/>
      <w:r>
        <w:rPr>
          <w:sz w:val="28"/>
          <w:szCs w:val="28"/>
          <w:lang w:val="uk-UA"/>
        </w:rPr>
        <w:t>Бритавська</w:t>
      </w:r>
      <w:proofErr w:type="spellEnd"/>
      <w:r>
        <w:rPr>
          <w:sz w:val="28"/>
          <w:szCs w:val="28"/>
          <w:lang w:val="uk-UA"/>
        </w:rPr>
        <w:t xml:space="preserve"> СЗШ І-ІІ ст.» на заміну вікон, КЗ «</w:t>
      </w:r>
      <w:proofErr w:type="spellStart"/>
      <w:r>
        <w:rPr>
          <w:sz w:val="28"/>
          <w:szCs w:val="28"/>
          <w:lang w:val="uk-UA"/>
        </w:rPr>
        <w:t>Бондурівська</w:t>
      </w:r>
      <w:proofErr w:type="spellEnd"/>
      <w:r>
        <w:rPr>
          <w:sz w:val="28"/>
          <w:szCs w:val="28"/>
          <w:lang w:val="uk-UA"/>
        </w:rPr>
        <w:t xml:space="preserve"> СЗШ І-ІІІ ст.» на придбання </w:t>
      </w:r>
      <w:proofErr w:type="spellStart"/>
      <w:r>
        <w:rPr>
          <w:sz w:val="28"/>
          <w:szCs w:val="28"/>
          <w:lang w:val="uk-UA"/>
        </w:rPr>
        <w:t>автошин</w:t>
      </w:r>
      <w:proofErr w:type="spellEnd"/>
      <w:r>
        <w:rPr>
          <w:sz w:val="28"/>
          <w:szCs w:val="28"/>
          <w:lang w:val="uk-UA"/>
        </w:rPr>
        <w:t xml:space="preserve"> та запасних частин,  КЗ «</w:t>
      </w:r>
      <w:proofErr w:type="spellStart"/>
      <w:r>
        <w:rPr>
          <w:sz w:val="28"/>
          <w:szCs w:val="28"/>
          <w:lang w:val="uk-UA"/>
        </w:rPr>
        <w:t>Поповогребельська</w:t>
      </w:r>
      <w:proofErr w:type="spellEnd"/>
      <w:r>
        <w:rPr>
          <w:sz w:val="28"/>
          <w:szCs w:val="28"/>
          <w:lang w:val="uk-UA"/>
        </w:rPr>
        <w:t xml:space="preserve">             СЗШ  І-ІІІ ст.» для придбання предметів довгострокового користування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(в т</w:t>
      </w:r>
      <w:r>
        <w:rPr>
          <w:sz w:val="28"/>
          <w:szCs w:val="28"/>
          <w:lang w:val="uk-UA"/>
        </w:rPr>
        <w:t xml:space="preserve">ому </w:t>
      </w:r>
      <w:r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ислі</w:t>
      </w:r>
      <w:r>
        <w:rPr>
          <w:sz w:val="28"/>
          <w:szCs w:val="28"/>
          <w:lang w:val="uk-UA"/>
        </w:rPr>
        <w:t xml:space="preserve"> заміна насоса в котельню), придбання предметів, матеріалів, медикаментів  для КУ 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ЛПЛ»,  для утримання інструктора-методиста ГО РО ВФСТ «Колос» АПК України, на виконання  Єдиної комплексної правоохоронної програми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на загальну суму 637,764</w:t>
      </w:r>
      <w:r>
        <w:rPr>
          <w:color w:val="993300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 у вигляді міжбюджетного трансферту до районного бюджету з бюджетів сіл та селища,   в тому числі:  </w:t>
      </w:r>
    </w:p>
    <w:p w:rsidR="007C78CB" w:rsidRDefault="007C78CB" w:rsidP="007C78CB">
      <w:pPr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7C78CB" w:rsidRDefault="007C78CB" w:rsidP="007C78CB">
      <w:pPr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</w:p>
    <w:p w:rsidR="007C78CB" w:rsidRDefault="007C78CB" w:rsidP="007C78CB">
      <w:pPr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</w:p>
    <w:p w:rsidR="007C78CB" w:rsidRDefault="007C78CB" w:rsidP="007C78CB">
      <w:pPr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</w:p>
    <w:p w:rsidR="007C78CB" w:rsidRDefault="007C78CB" w:rsidP="007C78CB">
      <w:pPr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</w:p>
    <w:p w:rsidR="007C78CB" w:rsidRDefault="007C78CB" w:rsidP="007C78CB">
      <w:pPr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</w:p>
    <w:p w:rsidR="007C78CB" w:rsidRDefault="007C78CB" w:rsidP="007C78CB">
      <w:pPr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(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)              </w:t>
      </w:r>
    </w:p>
    <w:tbl>
      <w:tblPr>
        <w:tblW w:w="9571" w:type="dxa"/>
        <w:tblInd w:w="-106" w:type="dxa"/>
        <w:tblLook w:val="01E0" w:firstRow="1" w:lastRow="1" w:firstColumn="1" w:lastColumn="1" w:noHBand="0" w:noVBand="0"/>
      </w:tblPr>
      <w:tblGrid>
        <w:gridCol w:w="9571"/>
      </w:tblGrid>
      <w:tr w:rsidR="007C78CB" w:rsidTr="007C78CB">
        <w:tc>
          <w:tcPr>
            <w:tcW w:w="9571" w:type="dxa"/>
            <w:hideMark/>
          </w:tcPr>
          <w:p w:rsidR="007C78CB" w:rsidRDefault="007C78CB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  <w:p w:rsidR="007C78CB" w:rsidRDefault="007C78CB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  <w:lang w:val="uk-UA"/>
              </w:rPr>
              <w:t>Вербська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     39,5</w:t>
            </w:r>
          </w:p>
        </w:tc>
      </w:tr>
      <w:tr w:rsidR="007C78CB" w:rsidTr="007C78CB">
        <w:tc>
          <w:tcPr>
            <w:tcW w:w="9571" w:type="dxa"/>
            <w:hideMark/>
          </w:tcPr>
          <w:p w:rsidR="007C78CB" w:rsidRDefault="007C78CB">
            <w:pPr>
              <w:tabs>
                <w:tab w:val="left" w:pos="6700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Бритавська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  43,5</w:t>
            </w:r>
          </w:p>
        </w:tc>
      </w:tr>
      <w:tr w:rsidR="007C78CB" w:rsidTr="007C78CB">
        <w:tc>
          <w:tcPr>
            <w:tcW w:w="9571" w:type="dxa"/>
            <w:hideMark/>
          </w:tcPr>
          <w:p w:rsidR="007C78CB" w:rsidRDefault="007C78CB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Бондурівська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49,5</w:t>
            </w:r>
          </w:p>
        </w:tc>
      </w:tr>
      <w:tr w:rsidR="007C78CB" w:rsidTr="007C78CB">
        <w:tc>
          <w:tcPr>
            <w:tcW w:w="9571" w:type="dxa"/>
            <w:hideMark/>
          </w:tcPr>
          <w:p w:rsidR="007C78CB" w:rsidRDefault="007C78CB" w:rsidP="007C78CB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Демівська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6,0</w:t>
            </w:r>
          </w:p>
        </w:tc>
      </w:tr>
      <w:tr w:rsidR="007C78CB" w:rsidTr="007C78CB">
        <w:trPr>
          <w:trHeight w:val="400"/>
        </w:trPr>
        <w:tc>
          <w:tcPr>
            <w:tcW w:w="9571" w:type="dxa"/>
            <w:hideMark/>
          </w:tcPr>
          <w:p w:rsidR="007C78CB" w:rsidRDefault="007C78CB">
            <w:pPr>
              <w:tabs>
                <w:tab w:val="left" w:pos="6610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Каташинська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150,275</w:t>
            </w:r>
          </w:p>
        </w:tc>
      </w:tr>
      <w:tr w:rsidR="007C78CB" w:rsidTr="007C78CB">
        <w:trPr>
          <w:trHeight w:val="400"/>
        </w:trPr>
        <w:tc>
          <w:tcPr>
            <w:tcW w:w="9571" w:type="dxa"/>
            <w:hideMark/>
          </w:tcPr>
          <w:p w:rsidR="007C78CB" w:rsidRDefault="007C78CB">
            <w:pPr>
              <w:tabs>
                <w:tab w:val="left" w:pos="6610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Лузька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  <w:r>
              <w:rPr>
                <w:sz w:val="28"/>
                <w:szCs w:val="28"/>
                <w:lang w:val="uk-UA"/>
              </w:rPr>
              <w:tab/>
              <w:t>25,0</w:t>
            </w:r>
          </w:p>
        </w:tc>
      </w:tr>
      <w:tr w:rsidR="007C78CB" w:rsidTr="007C78CB">
        <w:trPr>
          <w:trHeight w:val="400"/>
        </w:trPr>
        <w:tc>
          <w:tcPr>
            <w:tcW w:w="9571" w:type="dxa"/>
            <w:hideMark/>
          </w:tcPr>
          <w:p w:rsidR="007C78CB" w:rsidRDefault="007C78CB">
            <w:pPr>
              <w:tabs>
                <w:tab w:val="left" w:pos="6720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Любомирська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26,0</w:t>
            </w:r>
          </w:p>
        </w:tc>
      </w:tr>
      <w:tr w:rsidR="007C78CB" w:rsidTr="007C78CB">
        <w:trPr>
          <w:trHeight w:val="400"/>
        </w:trPr>
        <w:tc>
          <w:tcPr>
            <w:tcW w:w="9571" w:type="dxa"/>
            <w:hideMark/>
          </w:tcPr>
          <w:p w:rsidR="007C78CB" w:rsidRDefault="007C78CB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Стратіївська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сільська рада                                                20,0</w:t>
            </w:r>
          </w:p>
        </w:tc>
      </w:tr>
      <w:tr w:rsidR="007C78CB" w:rsidTr="007C78CB">
        <w:trPr>
          <w:trHeight w:val="312"/>
        </w:trPr>
        <w:tc>
          <w:tcPr>
            <w:tcW w:w="9571" w:type="dxa"/>
            <w:hideMark/>
          </w:tcPr>
          <w:p w:rsidR="007C78CB" w:rsidRDefault="007C78CB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Рогізківська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 36,1</w:t>
            </w:r>
          </w:p>
        </w:tc>
      </w:tr>
      <w:tr w:rsidR="007C78CB" w:rsidTr="007C78CB">
        <w:trPr>
          <w:trHeight w:val="312"/>
        </w:trPr>
        <w:tc>
          <w:tcPr>
            <w:tcW w:w="9571" w:type="dxa"/>
            <w:hideMark/>
          </w:tcPr>
          <w:p w:rsidR="007C78CB" w:rsidRDefault="007C78CB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Тартацька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    37,0</w:t>
            </w:r>
          </w:p>
        </w:tc>
      </w:tr>
      <w:tr w:rsidR="007C78CB" w:rsidTr="007C78CB">
        <w:trPr>
          <w:trHeight w:val="312"/>
        </w:trPr>
        <w:tc>
          <w:tcPr>
            <w:tcW w:w="9571" w:type="dxa"/>
            <w:hideMark/>
          </w:tcPr>
          <w:p w:rsidR="007C78CB" w:rsidRDefault="007C78CB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Поповогребельська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41,0 </w:t>
            </w:r>
          </w:p>
        </w:tc>
      </w:tr>
      <w:tr w:rsidR="007C78CB" w:rsidTr="007C78CB">
        <w:trPr>
          <w:trHeight w:val="312"/>
        </w:trPr>
        <w:tc>
          <w:tcPr>
            <w:tcW w:w="9571" w:type="dxa"/>
            <w:hideMark/>
          </w:tcPr>
          <w:p w:rsidR="007C78CB" w:rsidRDefault="007C78CB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Чечельницька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селищна рада                      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163,889</w:t>
            </w:r>
          </w:p>
        </w:tc>
      </w:tr>
    </w:tbl>
    <w:p w:rsidR="007C78CB" w:rsidRDefault="007C78CB" w:rsidP="007C78CB">
      <w:pPr>
        <w:ind w:firstLine="709"/>
        <w:jc w:val="both"/>
        <w:rPr>
          <w:sz w:val="28"/>
          <w:szCs w:val="28"/>
          <w:lang w:val="uk-UA"/>
        </w:rPr>
      </w:pPr>
    </w:p>
    <w:p w:rsidR="007C78CB" w:rsidRDefault="007C78CB" w:rsidP="007C78CB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7C78CB" w:rsidRDefault="007C78CB" w:rsidP="007C78CB">
      <w:pPr>
        <w:jc w:val="both"/>
        <w:rPr>
          <w:sz w:val="28"/>
          <w:szCs w:val="28"/>
          <w:lang w:val="uk-UA"/>
        </w:rPr>
      </w:pPr>
    </w:p>
    <w:p w:rsidR="007C78CB" w:rsidRDefault="007C78CB" w:rsidP="007C78CB">
      <w:pPr>
        <w:jc w:val="both"/>
        <w:rPr>
          <w:sz w:val="28"/>
          <w:szCs w:val="28"/>
          <w:lang w:val="uk-UA"/>
        </w:rPr>
      </w:pPr>
    </w:p>
    <w:p w:rsidR="007C78CB" w:rsidRDefault="007C78CB" w:rsidP="007C78CB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7C78CB" w:rsidRDefault="007C78CB" w:rsidP="007C78CB">
      <w:pPr>
        <w:tabs>
          <w:tab w:val="left" w:pos="7020"/>
          <w:tab w:val="left" w:pos="7200"/>
        </w:tabs>
        <w:jc w:val="both"/>
        <w:rPr>
          <w:lang w:val="uk-UA"/>
        </w:rPr>
      </w:pPr>
    </w:p>
    <w:p w:rsidR="007C78CB" w:rsidRDefault="007C78CB" w:rsidP="007C78CB">
      <w:pPr>
        <w:rPr>
          <w:lang w:val="uk-UA"/>
        </w:rPr>
      </w:pPr>
    </w:p>
    <w:p w:rsidR="000D4712" w:rsidRPr="007C78CB" w:rsidRDefault="000D4712">
      <w:pPr>
        <w:rPr>
          <w:lang w:val="uk-UA"/>
        </w:rPr>
      </w:pPr>
    </w:p>
    <w:sectPr w:rsidR="000D4712" w:rsidRPr="007C78CB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67"/>
    <w:rsid w:val="000D4712"/>
    <w:rsid w:val="002D1CF0"/>
    <w:rsid w:val="007C78CB"/>
    <w:rsid w:val="00AB1367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78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C78C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7C78CB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7C78CB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78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C78C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7C78CB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7C78CB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2128</Words>
  <Characters>1214</Characters>
  <Application>Microsoft Office Word</Application>
  <DocSecurity>0</DocSecurity>
  <Lines>10</Lines>
  <Paragraphs>6</Paragraphs>
  <ScaleCrop>false</ScaleCrop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2018-05-23T08:43:00Z</dcterms:created>
  <dcterms:modified xsi:type="dcterms:W3CDTF">2018-05-23T08:46:00Z</dcterms:modified>
</cp:coreProperties>
</file>