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7F" w:rsidRDefault="0038347F" w:rsidP="0038347F">
      <w:pPr>
        <w:pStyle w:val="a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8347F" w:rsidRDefault="0038347F" w:rsidP="0038347F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Проект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7F" w:rsidRPr="0038347F" w:rsidRDefault="0038347F" w:rsidP="0038347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8347F" w:rsidRDefault="0038347F" w:rsidP="0038347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8347F" w:rsidRDefault="0038347F" w:rsidP="0038347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8347F" w:rsidRDefault="0038347F" w:rsidP="0038347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8347F" w:rsidRDefault="0038347F" w:rsidP="003834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8347F" w:rsidRDefault="0038347F" w:rsidP="003834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8347F" w:rsidRDefault="0038347F" w:rsidP="0038347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8347F" w:rsidRDefault="0038347F" w:rsidP="00DA0AA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38347F" w:rsidRDefault="0038347F" w:rsidP="003834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38347F" w:rsidRDefault="006B082B" w:rsidP="003834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_</w:t>
      </w:r>
      <w:r w:rsidR="00DA0AA7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листопа</w:t>
      </w:r>
      <w:proofErr w:type="spellEnd"/>
      <w:r>
        <w:rPr>
          <w:sz w:val="28"/>
          <w:szCs w:val="28"/>
          <w:lang w:val="uk-UA"/>
        </w:rPr>
        <w:t xml:space="preserve">да </w:t>
      </w:r>
      <w:r w:rsidR="0038347F">
        <w:rPr>
          <w:sz w:val="28"/>
          <w:szCs w:val="28"/>
        </w:rPr>
        <w:t xml:space="preserve">2016 року                                                        </w:t>
      </w:r>
      <w:r w:rsidR="0038347F">
        <w:rPr>
          <w:sz w:val="28"/>
          <w:szCs w:val="28"/>
          <w:lang w:val="uk-UA"/>
        </w:rPr>
        <w:t xml:space="preserve">      </w:t>
      </w:r>
      <w:r w:rsidR="0038347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="0038347F">
        <w:rPr>
          <w:sz w:val="28"/>
          <w:szCs w:val="28"/>
          <w:lang w:val="uk-UA"/>
        </w:rPr>
        <w:t xml:space="preserve"> </w:t>
      </w:r>
      <w:proofErr w:type="spellStart"/>
      <w:r w:rsidR="0038347F">
        <w:rPr>
          <w:sz w:val="28"/>
          <w:szCs w:val="28"/>
        </w:rPr>
        <w:t>сесія</w:t>
      </w:r>
      <w:proofErr w:type="spellEnd"/>
      <w:r w:rsidR="0038347F">
        <w:rPr>
          <w:sz w:val="28"/>
          <w:szCs w:val="28"/>
        </w:rPr>
        <w:t xml:space="preserve"> 7 </w:t>
      </w:r>
      <w:proofErr w:type="spellStart"/>
      <w:r w:rsidR="0038347F">
        <w:rPr>
          <w:sz w:val="28"/>
          <w:szCs w:val="28"/>
        </w:rPr>
        <w:t>скликання</w:t>
      </w:r>
      <w:proofErr w:type="spellEnd"/>
      <w:r w:rsidR="0038347F">
        <w:rPr>
          <w:color w:val="000000"/>
          <w:sz w:val="28"/>
          <w:szCs w:val="28"/>
        </w:rPr>
        <w:t xml:space="preserve"> </w:t>
      </w:r>
    </w:p>
    <w:p w:rsidR="004436FC" w:rsidRPr="0038347F" w:rsidRDefault="004436FC" w:rsidP="0038347F">
      <w:pPr>
        <w:rPr>
          <w:sz w:val="28"/>
          <w:szCs w:val="28"/>
          <w:lang w:val="uk-UA"/>
        </w:rPr>
      </w:pP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 гр.</w:t>
      </w:r>
      <w:r w:rsidR="00DA0AA7">
        <w:rPr>
          <w:b/>
          <w:sz w:val="28"/>
          <w:szCs w:val="28"/>
          <w:lang w:val="uk-UA"/>
        </w:rPr>
        <w:t xml:space="preserve"> </w:t>
      </w:r>
      <w:proofErr w:type="spellStart"/>
      <w:r w:rsidR="009A72C2">
        <w:rPr>
          <w:b/>
          <w:sz w:val="28"/>
          <w:szCs w:val="28"/>
          <w:lang w:val="uk-UA"/>
        </w:rPr>
        <w:t>Подольського</w:t>
      </w:r>
      <w:proofErr w:type="spellEnd"/>
      <w:r w:rsidR="009A72C2">
        <w:rPr>
          <w:b/>
          <w:sz w:val="28"/>
          <w:szCs w:val="28"/>
          <w:lang w:val="uk-UA"/>
        </w:rPr>
        <w:t xml:space="preserve"> Я.В</w:t>
      </w:r>
      <w:r>
        <w:rPr>
          <w:b/>
          <w:sz w:val="28"/>
          <w:szCs w:val="28"/>
          <w:lang w:val="uk-UA"/>
        </w:rPr>
        <w:t>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ділянки, що </w:t>
      </w:r>
      <w:r w:rsidR="009A72C2">
        <w:rPr>
          <w:sz w:val="28"/>
          <w:szCs w:val="28"/>
          <w:lang w:val="uk-UA"/>
        </w:rPr>
        <w:t>перебуває у власності</w:t>
      </w:r>
      <w:r>
        <w:rPr>
          <w:sz w:val="28"/>
          <w:szCs w:val="28"/>
          <w:lang w:val="uk-UA"/>
        </w:rPr>
        <w:t xml:space="preserve"> гр.</w:t>
      </w:r>
      <w:r w:rsidR="00DA0AA7">
        <w:rPr>
          <w:sz w:val="28"/>
          <w:szCs w:val="28"/>
          <w:lang w:val="uk-UA"/>
        </w:rPr>
        <w:t xml:space="preserve"> </w:t>
      </w:r>
      <w:proofErr w:type="spellStart"/>
      <w:r w:rsidR="009A72C2">
        <w:rPr>
          <w:sz w:val="28"/>
          <w:szCs w:val="28"/>
          <w:lang w:val="uk-UA"/>
        </w:rPr>
        <w:t>Подольського</w:t>
      </w:r>
      <w:proofErr w:type="spellEnd"/>
      <w:r w:rsidR="009A72C2">
        <w:rPr>
          <w:sz w:val="28"/>
          <w:szCs w:val="28"/>
          <w:lang w:val="uk-UA"/>
        </w:rPr>
        <w:t xml:space="preserve"> Якова Васильовича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Бритавської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2,8</w:t>
      </w:r>
      <w:r w:rsidR="009A72C2">
        <w:rPr>
          <w:sz w:val="28"/>
          <w:szCs w:val="28"/>
          <w:lang w:val="uk-UA"/>
        </w:rPr>
        <w:t>123</w:t>
      </w:r>
      <w:r w:rsidR="00DA0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нормативна грошова оцінка земельної ділянки становить 8</w:t>
      </w:r>
      <w:r w:rsidR="0038347F">
        <w:rPr>
          <w:sz w:val="28"/>
          <w:szCs w:val="28"/>
          <w:lang w:val="uk-UA"/>
        </w:rPr>
        <w:t>3</w:t>
      </w:r>
      <w:r w:rsidR="009A72C2">
        <w:rPr>
          <w:sz w:val="28"/>
          <w:szCs w:val="28"/>
          <w:lang w:val="uk-UA"/>
        </w:rPr>
        <w:t>085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</w:t>
      </w:r>
      <w:r w:rsidR="0038347F">
        <w:rPr>
          <w:sz w:val="28"/>
          <w:szCs w:val="28"/>
          <w:lang w:val="uk-UA"/>
        </w:rPr>
        <w:t xml:space="preserve">стійну комісію районної ради з  </w:t>
      </w:r>
      <w:r>
        <w:rPr>
          <w:sz w:val="28"/>
          <w:szCs w:val="28"/>
          <w:lang w:val="uk-UA"/>
        </w:rPr>
        <w:t>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Кохановський О.В.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Федчишен</w:t>
      </w:r>
      <w:proofErr w:type="spellEnd"/>
      <w:r w:rsidRPr="001B4A54">
        <w:rPr>
          <w:sz w:val="24"/>
          <w:szCs w:val="24"/>
          <w:lang w:val="uk-UA"/>
        </w:rPr>
        <w:t xml:space="preserve"> М.О.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Кривіцька</w:t>
      </w:r>
      <w:proofErr w:type="spellEnd"/>
      <w:r w:rsidRPr="001B4A54">
        <w:rPr>
          <w:sz w:val="24"/>
          <w:szCs w:val="24"/>
          <w:lang w:val="uk-UA"/>
        </w:rPr>
        <w:t xml:space="preserve"> І.О. 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Лисенко Г.М.</w:t>
      </w:r>
    </w:p>
    <w:p w:rsidR="00F47040" w:rsidRDefault="004436FC" w:rsidP="0038347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Кр</w:t>
      </w:r>
      <w:r>
        <w:rPr>
          <w:sz w:val="24"/>
          <w:szCs w:val="24"/>
          <w:lang w:val="uk-UA"/>
        </w:rPr>
        <w:t>у</w:t>
      </w:r>
      <w:r w:rsidR="0038347F">
        <w:rPr>
          <w:sz w:val="24"/>
          <w:szCs w:val="24"/>
          <w:lang w:val="uk-UA"/>
        </w:rPr>
        <w:t>к Н.А</w:t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  <w:t xml:space="preserve">      </w:t>
      </w:r>
    </w:p>
    <w:p w:rsidR="00F47040" w:rsidRDefault="00F47040" w:rsidP="0038347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F47040" w:rsidRDefault="00F47040" w:rsidP="0038347F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8A7A3E0" wp14:editId="4A682E0D">
            <wp:extent cx="6120130" cy="8895080"/>
            <wp:effectExtent l="0" t="0" r="0" b="127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40" w:rsidRDefault="00F47040" w:rsidP="0038347F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436FC" w:rsidRPr="0038347F" w:rsidRDefault="00F47040" w:rsidP="0038347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2ADA31A" wp14:editId="28357D89">
            <wp:extent cx="6120130" cy="8855075"/>
            <wp:effectExtent l="0" t="0" r="0" b="317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436FC">
        <w:rPr>
          <w:b/>
          <w:sz w:val="28"/>
          <w:szCs w:val="28"/>
          <w:lang w:val="uk-UA"/>
        </w:rPr>
        <w:tab/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sz w:val="28"/>
          <w:szCs w:val="28"/>
          <w:lang w:val="uk-UA"/>
        </w:rPr>
        <w:tab/>
        <w:t xml:space="preserve">     </w:t>
      </w:r>
    </w:p>
    <w:sectPr w:rsidR="004436FC" w:rsidRPr="0038347F" w:rsidSect="003834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E34BD"/>
    <w:rsid w:val="0038347F"/>
    <w:rsid w:val="004436FC"/>
    <w:rsid w:val="006B082B"/>
    <w:rsid w:val="009A72C2"/>
    <w:rsid w:val="00DA0AA7"/>
    <w:rsid w:val="00F4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38347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47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4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38347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47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4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9</cp:revision>
  <dcterms:created xsi:type="dcterms:W3CDTF">2016-10-12T07:46:00Z</dcterms:created>
  <dcterms:modified xsi:type="dcterms:W3CDTF">2016-10-31T12:59:00Z</dcterms:modified>
</cp:coreProperties>
</file>