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1F" w:rsidRDefault="001E1B1F" w:rsidP="001E1B1F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1E1B1F" w:rsidRDefault="001E1B1F" w:rsidP="001E1B1F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</w:t>
      </w:r>
      <w:r w:rsidR="00DD49EE">
        <w:rPr>
          <w:rFonts w:ascii="Times New Roman CYR" w:hAnsi="Times New Roman CYR"/>
          <w:lang w:val="uk-UA"/>
        </w:rPr>
        <w:t xml:space="preserve">              </w:t>
      </w:r>
      <w:r>
        <w:rPr>
          <w:rFonts w:ascii="Times New Roman CYR" w:hAnsi="Times New Roman CYR"/>
          <w:lang w:val="uk-UA"/>
        </w:rPr>
        <w:t xml:space="preserve">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1F" w:rsidRDefault="001E1B1F" w:rsidP="001E1B1F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1E1B1F" w:rsidRDefault="001E1B1F" w:rsidP="001E1B1F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1E1B1F" w:rsidRDefault="001E1B1F" w:rsidP="001E1B1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1E1B1F" w:rsidRDefault="001E1B1F" w:rsidP="001E1B1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1E1B1F" w:rsidRDefault="001E1B1F" w:rsidP="001E1B1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1E1B1F" w:rsidRDefault="001E1B1F" w:rsidP="001E1B1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  <w:r w:rsidR="00D42083">
        <w:rPr>
          <w:b/>
          <w:szCs w:val="28"/>
        </w:rPr>
        <w:t>№ 235</w:t>
      </w:r>
    </w:p>
    <w:p w:rsidR="001E1B1F" w:rsidRDefault="001E1B1F" w:rsidP="001E1B1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1E1B1F" w:rsidRPr="00204710" w:rsidRDefault="00D42083" w:rsidP="001E1B1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1E1B1F">
        <w:rPr>
          <w:sz w:val="28"/>
          <w:szCs w:val="28"/>
          <w:lang w:val="uk-UA"/>
        </w:rPr>
        <w:t xml:space="preserve"> квітня </w:t>
      </w:r>
      <w:r w:rsidR="001E1B1F" w:rsidRPr="00204710">
        <w:rPr>
          <w:sz w:val="28"/>
          <w:szCs w:val="28"/>
          <w:lang w:val="uk-UA"/>
        </w:rPr>
        <w:t>201</w:t>
      </w:r>
      <w:r w:rsidR="001E1B1F">
        <w:rPr>
          <w:sz w:val="28"/>
          <w:szCs w:val="28"/>
          <w:lang w:val="uk-UA"/>
        </w:rPr>
        <w:t>7</w:t>
      </w:r>
      <w:r w:rsidR="001E1B1F" w:rsidRPr="00204710">
        <w:rPr>
          <w:sz w:val="28"/>
          <w:szCs w:val="28"/>
          <w:lang w:val="uk-UA"/>
        </w:rPr>
        <w:t xml:space="preserve"> року                                                      </w:t>
      </w:r>
      <w:r w:rsidR="001E3410">
        <w:rPr>
          <w:sz w:val="28"/>
          <w:szCs w:val="28"/>
          <w:lang w:val="uk-UA"/>
        </w:rPr>
        <w:t xml:space="preserve">  </w:t>
      </w:r>
      <w:r w:rsidR="001E1B1F" w:rsidRPr="00204710">
        <w:rPr>
          <w:sz w:val="28"/>
          <w:szCs w:val="28"/>
          <w:lang w:val="uk-UA"/>
        </w:rPr>
        <w:t xml:space="preserve"> </w:t>
      </w:r>
      <w:r w:rsidR="001E1B1F">
        <w:rPr>
          <w:sz w:val="28"/>
          <w:szCs w:val="28"/>
          <w:lang w:val="uk-UA"/>
        </w:rPr>
        <w:t xml:space="preserve">     </w:t>
      </w:r>
      <w:r w:rsidR="00DD49EE">
        <w:rPr>
          <w:sz w:val="28"/>
          <w:szCs w:val="28"/>
          <w:lang w:val="uk-UA"/>
        </w:rPr>
        <w:t xml:space="preserve"> </w:t>
      </w:r>
      <w:r w:rsidR="001E1B1F">
        <w:rPr>
          <w:sz w:val="28"/>
          <w:szCs w:val="28"/>
          <w:lang w:val="uk-UA"/>
        </w:rPr>
        <w:t xml:space="preserve">    </w:t>
      </w:r>
      <w:r w:rsidR="001E1B1F" w:rsidRPr="00204710">
        <w:rPr>
          <w:sz w:val="28"/>
          <w:szCs w:val="28"/>
          <w:lang w:val="uk-UA"/>
        </w:rPr>
        <w:t xml:space="preserve"> </w:t>
      </w:r>
      <w:r w:rsidR="001E1B1F">
        <w:rPr>
          <w:sz w:val="28"/>
          <w:szCs w:val="28"/>
          <w:lang w:val="uk-UA"/>
        </w:rPr>
        <w:t xml:space="preserve"> 11 </w:t>
      </w:r>
      <w:r w:rsidR="001E1B1F" w:rsidRPr="00204710">
        <w:rPr>
          <w:sz w:val="28"/>
          <w:szCs w:val="28"/>
          <w:lang w:val="uk-UA"/>
        </w:rPr>
        <w:t>сесія 7 скликання</w:t>
      </w:r>
      <w:r w:rsidR="001E1B1F" w:rsidRPr="00204710">
        <w:rPr>
          <w:color w:val="000000"/>
          <w:sz w:val="28"/>
          <w:szCs w:val="28"/>
          <w:lang w:val="uk-UA"/>
        </w:rPr>
        <w:t xml:space="preserve"> </w:t>
      </w:r>
    </w:p>
    <w:p w:rsidR="001E1B1F" w:rsidRDefault="001E1B1F" w:rsidP="001E1B1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DD49EE" w:rsidRPr="00DD49EE" w:rsidRDefault="001E1B1F" w:rsidP="001E1B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</w:t>
      </w:r>
      <w:r w:rsidR="00DD49EE">
        <w:rPr>
          <w:b/>
          <w:sz w:val="28"/>
          <w:szCs w:val="28"/>
          <w:lang w:val="uk-UA"/>
        </w:rPr>
        <w:t>ої оцінки земельної ділянки сільськогосподарського призначення</w:t>
      </w:r>
      <w:r w:rsidR="001E3410">
        <w:rPr>
          <w:b/>
          <w:sz w:val="28"/>
          <w:szCs w:val="28"/>
          <w:lang w:val="uk-UA"/>
        </w:rPr>
        <w:t xml:space="preserve"> </w:t>
      </w:r>
      <w:r w:rsidR="00DD49EE" w:rsidRPr="00DD49EE">
        <w:rPr>
          <w:b/>
          <w:sz w:val="28"/>
          <w:szCs w:val="28"/>
          <w:lang w:val="uk-UA"/>
        </w:rPr>
        <w:t xml:space="preserve">державної власності, що надається для ведення товарного сільськогосподарського виробництва шляхом продажу права оренди через аукціон із земель резервного фонду на території </w:t>
      </w:r>
      <w:proofErr w:type="spellStart"/>
      <w:r w:rsidR="00DD49EE" w:rsidRPr="00DD49EE">
        <w:rPr>
          <w:b/>
          <w:sz w:val="28"/>
          <w:szCs w:val="28"/>
          <w:lang w:val="uk-UA"/>
        </w:rPr>
        <w:t>Рогізківської</w:t>
      </w:r>
      <w:proofErr w:type="spellEnd"/>
      <w:r w:rsidR="00DD49EE" w:rsidRPr="00DD49EE">
        <w:rPr>
          <w:b/>
          <w:sz w:val="28"/>
          <w:szCs w:val="28"/>
          <w:lang w:val="uk-UA"/>
        </w:rPr>
        <w:t xml:space="preserve"> сільської ради </w:t>
      </w:r>
      <w:proofErr w:type="spellStart"/>
      <w:r w:rsidR="00DD49EE" w:rsidRPr="00DD49EE">
        <w:rPr>
          <w:b/>
          <w:sz w:val="28"/>
          <w:szCs w:val="28"/>
          <w:lang w:val="uk-UA"/>
        </w:rPr>
        <w:t>Чечельницького</w:t>
      </w:r>
      <w:proofErr w:type="spellEnd"/>
      <w:r w:rsidR="00DD49EE" w:rsidRPr="00DD49EE">
        <w:rPr>
          <w:b/>
          <w:sz w:val="28"/>
          <w:szCs w:val="28"/>
          <w:lang w:val="uk-UA"/>
        </w:rPr>
        <w:t xml:space="preserve"> району </w:t>
      </w:r>
      <w:proofErr w:type="spellStart"/>
      <w:r w:rsidR="00DD49EE" w:rsidRPr="00DD49EE">
        <w:rPr>
          <w:b/>
          <w:sz w:val="28"/>
          <w:szCs w:val="28"/>
          <w:lang w:val="uk-UA"/>
        </w:rPr>
        <w:t>Віннницької</w:t>
      </w:r>
      <w:proofErr w:type="spellEnd"/>
      <w:r w:rsidR="00DD49EE" w:rsidRPr="00DD49EE">
        <w:rPr>
          <w:b/>
          <w:sz w:val="28"/>
          <w:szCs w:val="28"/>
          <w:lang w:val="uk-UA"/>
        </w:rPr>
        <w:t xml:space="preserve"> області</w:t>
      </w:r>
    </w:p>
    <w:p w:rsidR="001E1B1F" w:rsidRDefault="001E1B1F" w:rsidP="001E1B1F">
      <w:pPr>
        <w:jc w:val="both"/>
        <w:rPr>
          <w:sz w:val="28"/>
          <w:szCs w:val="28"/>
          <w:lang w:val="uk-UA"/>
        </w:rPr>
      </w:pPr>
    </w:p>
    <w:p w:rsidR="001E1B1F" w:rsidRDefault="001E1B1F" w:rsidP="001E1B1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21 частини 1 статті 43 Закону України «Про місцеве самоврядування в Україні», статей 10, 93, 124, 186 Земельного Кодексу України, статей 4, 21 Закону України «Про оренду землі», статті 271 Податкового кодексу України, враховуючи подання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Вінницької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1E1B1F" w:rsidRDefault="001E1B1F" w:rsidP="001E1B1F">
      <w:pPr>
        <w:jc w:val="both"/>
        <w:rPr>
          <w:sz w:val="28"/>
          <w:szCs w:val="28"/>
          <w:lang w:val="uk-UA"/>
        </w:rPr>
      </w:pPr>
    </w:p>
    <w:p w:rsidR="001E1B1F" w:rsidRDefault="001E1B1F" w:rsidP="001E1B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земельної ділянки</w:t>
      </w:r>
      <w:r w:rsidR="00DD49EE">
        <w:rPr>
          <w:sz w:val="28"/>
          <w:szCs w:val="28"/>
          <w:lang w:val="uk-UA"/>
        </w:rPr>
        <w:t xml:space="preserve">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резервного фонду на території </w:t>
      </w:r>
      <w:proofErr w:type="spellStart"/>
      <w:r w:rsidR="00DD49EE">
        <w:rPr>
          <w:sz w:val="28"/>
          <w:szCs w:val="28"/>
          <w:lang w:val="uk-UA"/>
        </w:rPr>
        <w:t>Рогізківської</w:t>
      </w:r>
      <w:proofErr w:type="spellEnd"/>
      <w:r w:rsidR="00DD49EE">
        <w:rPr>
          <w:sz w:val="28"/>
          <w:szCs w:val="28"/>
          <w:lang w:val="uk-UA"/>
        </w:rPr>
        <w:t xml:space="preserve"> сільської ради </w:t>
      </w:r>
      <w:proofErr w:type="spellStart"/>
      <w:r w:rsidR="00DD49EE">
        <w:rPr>
          <w:sz w:val="28"/>
          <w:szCs w:val="28"/>
          <w:lang w:val="uk-UA"/>
        </w:rPr>
        <w:t>Чечельницького</w:t>
      </w:r>
      <w:proofErr w:type="spellEnd"/>
      <w:r w:rsidR="00DD49EE">
        <w:rPr>
          <w:sz w:val="28"/>
          <w:szCs w:val="28"/>
          <w:lang w:val="uk-UA"/>
        </w:rPr>
        <w:t xml:space="preserve"> району </w:t>
      </w:r>
      <w:proofErr w:type="spellStart"/>
      <w:r w:rsidR="00DD49EE">
        <w:rPr>
          <w:sz w:val="28"/>
          <w:szCs w:val="28"/>
          <w:lang w:val="uk-UA"/>
        </w:rPr>
        <w:t>Віннницької</w:t>
      </w:r>
      <w:proofErr w:type="spellEnd"/>
      <w:r w:rsidR="00DD49EE">
        <w:rPr>
          <w:sz w:val="28"/>
          <w:szCs w:val="28"/>
          <w:lang w:val="uk-UA"/>
        </w:rPr>
        <w:t xml:space="preserve"> області </w:t>
      </w:r>
      <w:r w:rsidR="001E3410">
        <w:rPr>
          <w:sz w:val="28"/>
          <w:szCs w:val="28"/>
          <w:lang w:val="uk-UA"/>
        </w:rPr>
        <w:t xml:space="preserve">(за межами населеного пункту) </w:t>
      </w:r>
      <w:r>
        <w:rPr>
          <w:sz w:val="28"/>
          <w:szCs w:val="28"/>
          <w:lang w:val="uk-UA"/>
        </w:rPr>
        <w:t xml:space="preserve">загальною площею </w:t>
      </w:r>
      <w:r w:rsidR="00DD49EE">
        <w:rPr>
          <w:sz w:val="28"/>
          <w:szCs w:val="28"/>
          <w:lang w:val="uk-UA"/>
        </w:rPr>
        <w:t>34,2726 га</w:t>
      </w:r>
      <w:r w:rsidR="00204710">
        <w:rPr>
          <w:sz w:val="28"/>
          <w:szCs w:val="28"/>
          <w:lang w:val="uk-UA"/>
        </w:rPr>
        <w:t xml:space="preserve"> (багаторічні насадження)</w:t>
      </w:r>
      <w:r>
        <w:rPr>
          <w:sz w:val="28"/>
          <w:szCs w:val="28"/>
          <w:lang w:val="uk-UA"/>
        </w:rPr>
        <w:t>, нормативна грошова оцінк</w:t>
      </w:r>
      <w:r w:rsidR="00DD49EE">
        <w:rPr>
          <w:sz w:val="28"/>
          <w:szCs w:val="28"/>
          <w:lang w:val="uk-UA"/>
        </w:rPr>
        <w:t>а земельної ділянки становить 861 066</w:t>
      </w:r>
      <w:r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ab/>
      </w:r>
    </w:p>
    <w:p w:rsidR="001E1B1F" w:rsidRDefault="001E1B1F" w:rsidP="00DD49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1E1B1F" w:rsidRDefault="001E1B1F" w:rsidP="001E1B1F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1E1B1F" w:rsidRDefault="001E1B1F" w:rsidP="001E3410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3B2606" w:rsidRPr="003B2606" w:rsidRDefault="003B2606" w:rsidP="00051C02">
      <w:pPr>
        <w:framePr w:h="16104" w:hSpace="10080" w:wrap="notBeside" w:vAnchor="text" w:hAnchor="page" w:x="1096" w:y="-578"/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eastAsiaTheme="minorEastAsia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C325F55" wp14:editId="238018F9">
            <wp:extent cx="6350054" cy="869892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86" cy="869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06" w:rsidRPr="003B2606" w:rsidRDefault="003B2606" w:rsidP="00051C02">
      <w:pPr>
        <w:framePr w:h="16176" w:hSpace="10080" w:wrap="notBeside" w:vAnchor="text" w:hAnchor="page" w:x="841" w:y="-653"/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val="uk-UA" w:eastAsia="uk-UA"/>
        </w:rPr>
      </w:pPr>
      <w:r>
        <w:rPr>
          <w:rFonts w:eastAsiaTheme="minorEastAsia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41ED7370" wp14:editId="4D725A2A">
            <wp:extent cx="6547280" cy="9524923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0" cy="95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06" w:rsidRPr="00DD49EE" w:rsidRDefault="003B2606" w:rsidP="003B2606">
      <w:pPr>
        <w:tabs>
          <w:tab w:val="left" w:pos="7020"/>
          <w:tab w:val="left" w:pos="7200"/>
        </w:tabs>
        <w:ind w:left="-851"/>
        <w:jc w:val="both"/>
        <w:rPr>
          <w:sz w:val="24"/>
          <w:szCs w:val="24"/>
          <w:lang w:val="uk-UA"/>
        </w:rPr>
      </w:pPr>
    </w:p>
    <w:sectPr w:rsidR="003B2606" w:rsidRPr="00DD49EE" w:rsidSect="001E1B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70" w:rsidRDefault="00DB4B70" w:rsidP="00051C02">
      <w:r>
        <w:separator/>
      </w:r>
    </w:p>
  </w:endnote>
  <w:endnote w:type="continuationSeparator" w:id="0">
    <w:p w:rsidR="00DB4B70" w:rsidRDefault="00DB4B70" w:rsidP="0005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70" w:rsidRDefault="00DB4B70" w:rsidP="00051C02">
      <w:r>
        <w:separator/>
      </w:r>
    </w:p>
  </w:footnote>
  <w:footnote w:type="continuationSeparator" w:id="0">
    <w:p w:rsidR="00DB4B70" w:rsidRDefault="00DB4B70" w:rsidP="0005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02" w:rsidRDefault="00051C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1F"/>
    <w:rsid w:val="00051C02"/>
    <w:rsid w:val="000852DC"/>
    <w:rsid w:val="001E1B1F"/>
    <w:rsid w:val="001E3410"/>
    <w:rsid w:val="00204710"/>
    <w:rsid w:val="003B2606"/>
    <w:rsid w:val="00A40942"/>
    <w:rsid w:val="00D42083"/>
    <w:rsid w:val="00DB4B70"/>
    <w:rsid w:val="00D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B1F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1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E1B1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1E1B1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0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C0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C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51C0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C0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B1F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1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E1B1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1E1B1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0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C0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C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51C0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C0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2017-04-27T10:22:00Z</dcterms:created>
  <dcterms:modified xsi:type="dcterms:W3CDTF">2017-04-27T10:22:00Z</dcterms:modified>
</cp:coreProperties>
</file>