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B7" w:rsidRDefault="005A25B7" w:rsidP="005A25B7">
      <w:pPr>
        <w:rPr>
          <w:b/>
          <w:sz w:val="28"/>
          <w:szCs w:val="28"/>
          <w:lang w:val="uk-UA"/>
        </w:rPr>
      </w:pPr>
    </w:p>
    <w:p w:rsidR="005A25B7" w:rsidRDefault="005A25B7" w:rsidP="005A25B7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5B7" w:rsidRDefault="005A25B7" w:rsidP="005A25B7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rFonts w:ascii="Times New Roman CYR" w:hAnsi="Times New Roman CYR"/>
        </w:rPr>
      </w:pPr>
    </w:p>
    <w:p w:rsidR="005A25B7" w:rsidRDefault="005A25B7" w:rsidP="005A25B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A25B7" w:rsidRDefault="005A25B7" w:rsidP="005A25B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A25B7" w:rsidRDefault="005A25B7" w:rsidP="005A25B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5A25B7" w:rsidRDefault="005A25B7" w:rsidP="005A25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5A25B7" w:rsidRDefault="005A25B7" w:rsidP="005A25B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5A25B7" w:rsidRDefault="005A25B7" w:rsidP="005A25B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8"/>
        </w:rPr>
      </w:pPr>
    </w:p>
    <w:p w:rsidR="005A25B7" w:rsidRPr="00247317" w:rsidRDefault="005A25B7" w:rsidP="005A25B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8"/>
        </w:rPr>
      </w:pPr>
      <w:r w:rsidRPr="00247317">
        <w:rPr>
          <w:b/>
          <w:szCs w:val="28"/>
        </w:rPr>
        <w:t>РІШЕННЯ</w:t>
      </w:r>
      <w:r>
        <w:rPr>
          <w:b/>
          <w:szCs w:val="28"/>
        </w:rPr>
        <w:t xml:space="preserve"> № 134</w:t>
      </w:r>
      <w:r w:rsidRPr="00247317">
        <w:rPr>
          <w:b/>
          <w:szCs w:val="28"/>
        </w:rPr>
        <w:t xml:space="preserve">  </w:t>
      </w:r>
    </w:p>
    <w:p w:rsidR="005A25B7" w:rsidRDefault="005A25B7" w:rsidP="005A25B7">
      <w:pPr>
        <w:rPr>
          <w:sz w:val="28"/>
          <w:szCs w:val="28"/>
          <w:lang w:val="uk-UA"/>
        </w:rPr>
      </w:pPr>
    </w:p>
    <w:p w:rsidR="005A25B7" w:rsidRPr="001B0910" w:rsidRDefault="005A25B7" w:rsidP="005A2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  вересня </w:t>
      </w:r>
      <w:r w:rsidRPr="001B0910">
        <w:rPr>
          <w:sz w:val="28"/>
          <w:szCs w:val="28"/>
          <w:lang w:val="uk-UA"/>
        </w:rPr>
        <w:t xml:space="preserve">2016 року  </w:t>
      </w:r>
      <w:r>
        <w:rPr>
          <w:sz w:val="28"/>
          <w:szCs w:val="28"/>
          <w:lang w:val="uk-UA"/>
        </w:rPr>
        <w:tab/>
        <w:t xml:space="preserve">                                          7 позачергова</w:t>
      </w:r>
      <w:r w:rsidRPr="001B0910">
        <w:rPr>
          <w:sz w:val="28"/>
          <w:szCs w:val="28"/>
          <w:lang w:val="uk-UA"/>
        </w:rPr>
        <w:t xml:space="preserve"> сесія 7 скликання</w:t>
      </w:r>
    </w:p>
    <w:p w:rsidR="005A25B7" w:rsidRDefault="005A25B7" w:rsidP="005A25B7">
      <w:pPr>
        <w:jc w:val="center"/>
        <w:rPr>
          <w:b/>
          <w:sz w:val="28"/>
          <w:szCs w:val="28"/>
          <w:lang w:val="uk-UA"/>
        </w:rPr>
      </w:pPr>
    </w:p>
    <w:p w:rsidR="005A25B7" w:rsidRDefault="005A25B7" w:rsidP="005A25B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2 сесії районної ради</w:t>
      </w:r>
    </w:p>
    <w:p w:rsidR="005A25B7" w:rsidRDefault="005A25B7" w:rsidP="005A25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скликання від 18.12.2015 року № 8</w:t>
      </w:r>
    </w:p>
    <w:p w:rsidR="005A25B7" w:rsidRDefault="005A25B7" w:rsidP="005A25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районний бюджет на 2016 рік»</w:t>
      </w:r>
    </w:p>
    <w:p w:rsidR="005A25B7" w:rsidRDefault="005A25B7" w:rsidP="005A25B7">
      <w:pPr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Відповідно до пункту 17 частини 1 статті 43 закону України «Про місцеве самоврядування в Україні»,статей 14,23,78 Бюджетного кодексу України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прийняттям</w:t>
      </w:r>
      <w:proofErr w:type="spellEnd"/>
      <w:r>
        <w:rPr>
          <w:sz w:val="28"/>
          <w:szCs w:val="28"/>
        </w:rPr>
        <w:t xml:space="preserve"> Верховною Радою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на 2016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збалансованості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 у 2016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 враховуючи  клопотання  районної державної адміністрації, висновки постійної комісії районної ради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до рішення 2 сесії районної ради 7 скликання від 18 грудня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2015 року № 8  «Про районний бюджет на 2016 рік» такі зміни: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Збільшити доходи загального фонду районного бюджету на         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53450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ККД  11010100 «Податок на доходи фізичних осіб, що сплачується податковими агентами із доходів платника у вигляд заробітної плати» на суму 253450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ККД 11010400 «Податок на доходи фізичних осіб, що сплачується податковими агентами, із  доходів платника податку інших ніж заробітна плата» на суму 200000 грн.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2)  Збільшити доходи за  ККД 41035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00 «Інші субвенції» на суму       61400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рахунок коштів, переданих із загального фонду сільських бюджетів до районного бюджету згідно із затвердженими угодами з районною радою.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3) Збільшити видатки загального фонду районного бюджету на суму         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14850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 за головними розпорядниками коштів: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а) 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районна державна адміністрація на загальну суму         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76450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за  КТКВК 080101 «Лікарні» на суму 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7450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473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заробітна плата </w:t>
      </w:r>
      <w:r w:rsidRPr="00247317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7450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придбання медикаментів  в сумі 20000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(субвенція з </w:t>
      </w:r>
      <w:proofErr w:type="spellStart"/>
      <w:r>
        <w:rPr>
          <w:sz w:val="28"/>
          <w:szCs w:val="28"/>
          <w:lang w:val="uk-UA"/>
        </w:rPr>
        <w:t>Вербського</w:t>
      </w:r>
      <w:proofErr w:type="spellEnd"/>
      <w:r>
        <w:rPr>
          <w:sz w:val="28"/>
          <w:szCs w:val="28"/>
          <w:lang w:val="uk-UA"/>
        </w:rPr>
        <w:t xml:space="preserve"> та Любомирського сільських бюджетів);</w:t>
      </w:r>
    </w:p>
    <w:p w:rsidR="005A25B7" w:rsidRDefault="005A25B7" w:rsidP="005A25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КТКВК 080800 «Центри первинної медичної (медико-санітарної) допомоги» </w:t>
      </w:r>
      <w:r>
        <w:rPr>
          <w:sz w:val="28"/>
          <w:szCs w:val="28"/>
        </w:rPr>
        <w:t>26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000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</w:t>
      </w:r>
      <w:proofErr w:type="spellStart"/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заробітна плата та нарахування на оплату праці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6000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пільгових медикаментів 70000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а саме: учасникам АТО  20000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на </w:t>
      </w:r>
      <w:proofErr w:type="spellStart"/>
      <w:r>
        <w:rPr>
          <w:sz w:val="28"/>
          <w:szCs w:val="28"/>
          <w:lang w:val="uk-UA"/>
        </w:rPr>
        <w:t>цукрознижуючі</w:t>
      </w:r>
      <w:proofErr w:type="spellEnd"/>
      <w:r>
        <w:rPr>
          <w:sz w:val="28"/>
          <w:szCs w:val="28"/>
          <w:lang w:val="uk-UA"/>
        </w:rPr>
        <w:t xml:space="preserve"> препарати 20000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дітям-інвалідам  30000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ремонт приміщення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МП 120000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заміна вікон та дверей у Любомирському фельдшерсько-акушерському пункті 13000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Pr="00247317" w:rsidRDefault="005A25B7" w:rsidP="005A25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за КТКВК 120201 «Періодичні видання (газети та журнали)» на суму 100000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виконання районної комплексної програми забезпечення розвитку і надання інформаційних послуг населенню району на 2016-2017 роки; 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473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б) Фінансове управління</w:t>
      </w:r>
      <w:r w:rsidRPr="00247317">
        <w:rPr>
          <w:sz w:val="28"/>
          <w:szCs w:val="28"/>
          <w:lang w:val="uk-UA"/>
        </w:rPr>
        <w:t xml:space="preserve"> за КТКВК</w:t>
      </w:r>
      <w:r>
        <w:rPr>
          <w:sz w:val="28"/>
          <w:szCs w:val="28"/>
          <w:lang w:val="uk-UA"/>
        </w:rPr>
        <w:t xml:space="preserve"> 250380 «Інша субвенція» на суму 10000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лікування дитини в обласній дитячій лікарні;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в) Відділ освіти РДА на суму 28400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  КТКВК 070201 «Загальноосвітні школи» – 18400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 т.ч.: </w:t>
      </w:r>
    </w:p>
    <w:p w:rsidR="005A25B7" w:rsidRDefault="005A25B7" w:rsidP="005A25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інвентарю для КЗ «</w:t>
      </w:r>
      <w:proofErr w:type="spellStart"/>
      <w:r>
        <w:rPr>
          <w:sz w:val="28"/>
          <w:szCs w:val="28"/>
          <w:lang w:val="uk-UA"/>
        </w:rPr>
        <w:t>Ольгопільська</w:t>
      </w:r>
      <w:proofErr w:type="spellEnd"/>
      <w:r>
        <w:rPr>
          <w:sz w:val="28"/>
          <w:szCs w:val="28"/>
          <w:lang w:val="uk-UA"/>
        </w:rPr>
        <w:t xml:space="preserve"> СЗШ І-ІІІ ст.» - 5000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харчування дітей  в КЗ «Любомирський НВК І-ІІ ст.» - 13400 грн.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За КТКВК 070401 «Позашкільні заклади освіти» - 10000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поточного ремонту із заміною вікон у  </w:t>
      </w:r>
      <w:proofErr w:type="spellStart"/>
      <w:r>
        <w:rPr>
          <w:sz w:val="28"/>
          <w:szCs w:val="28"/>
          <w:lang w:val="uk-UA"/>
        </w:rPr>
        <w:t>Чечельницькій</w:t>
      </w:r>
      <w:proofErr w:type="spellEnd"/>
      <w:r>
        <w:rPr>
          <w:sz w:val="28"/>
          <w:szCs w:val="28"/>
          <w:lang w:val="uk-UA"/>
        </w:rPr>
        <w:t xml:space="preserve"> станції юних натуралістів </w:t>
      </w:r>
      <w:proofErr w:type="spellStart"/>
      <w:r>
        <w:rPr>
          <w:sz w:val="28"/>
          <w:szCs w:val="28"/>
          <w:lang w:val="uk-UA"/>
        </w:rPr>
        <w:t>с.Ольгопіль</w:t>
      </w:r>
      <w:proofErr w:type="spellEnd"/>
      <w:r>
        <w:rPr>
          <w:sz w:val="28"/>
          <w:szCs w:val="28"/>
          <w:lang w:val="uk-UA"/>
        </w:rPr>
        <w:t>.</w:t>
      </w:r>
    </w:p>
    <w:p w:rsidR="005A25B7" w:rsidRDefault="005A25B7" w:rsidP="005A25B7">
      <w:pPr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Фінансування видатків, зазначених пунктом 1.3)   провести за рахунок внесення змін до доходів загального  фонду районного бюджету на суму  </w:t>
      </w: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14850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(в тому числі за рахунок субвенції з сільських бюджетів - 61400грн).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3.Здійснити перерозподіл видатків загального фонду районного бюджету, зменшивши видатки за   КТКВК 250102 «Резервний фонд» на суму 156780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 за КТКВК 250404 «Інші видатки» на суму 131092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збільшити за головними розпорядниками за тимчасовою та економічною класифікацією видатків бюджету: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а) 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районна державна адміністрація за КТКВК 080101 «Лікарні» на суму 196522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(заробітна плата та нарахування на оплату праці);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б) Управління праці та соціального захисту населення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на загальну суму  27900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за КТКВК 250404 «Інші видатки» на виконання районної Комплексної програми соціальної підтримки сімей учасників антитерористичної операції, військовослужбовців, поранених учасників АТО та вшанування пам’яті </w:t>
      </w:r>
      <w:r>
        <w:rPr>
          <w:sz w:val="28"/>
          <w:szCs w:val="28"/>
          <w:lang w:val="uk-UA"/>
        </w:rPr>
        <w:lastRenderedPageBreak/>
        <w:t xml:space="preserve">загиблих на 2015-2016 роки, на придбання дров учасникам АТО на суму    20300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КТКВК 091205 «Виплати грошової компенсації фізичним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допомоги» в  сумі 7600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в) Фінансове управління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на загальну суму 63450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КТКВК 250380 «Інша субвенція» в сумі 63450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в т.ч.: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субвенція, що передається з районного бюджету до обласного бюджету  відповідно до Регіональної програми «Власний дім» на суму 20000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субвенція, що передається з районного бюджету до обласного бюджету на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придбання для Вінницького обласного клінічного онкологічного диспансеру джерела іонізуючого випромінювання в гамма-терапевтичному апараті 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 xml:space="preserve"> 60-F в сумі 43450 грн.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4. Здійснити перерозподіл видатків  спеціального фонду районного бюджету, зменшивши видатки за КТКВК 070201 «Загальноосвітні школи»  на суму 198700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збільшити видатки за головними розпорядниками та за тимчасовою та економічно класифікацією видатків бюджету, в т.ч.: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а) відділ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 - 130000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: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КТКВК 070201 «Загальноосвітні школи» для придбання комп’ютерного класу в КЗ «</w:t>
      </w:r>
      <w:proofErr w:type="spellStart"/>
      <w:r>
        <w:rPr>
          <w:sz w:val="28"/>
          <w:szCs w:val="28"/>
          <w:lang w:val="uk-UA"/>
        </w:rPr>
        <w:t>Ольгопільська</w:t>
      </w:r>
      <w:proofErr w:type="spellEnd"/>
      <w:r>
        <w:rPr>
          <w:sz w:val="28"/>
          <w:szCs w:val="28"/>
          <w:lang w:val="uk-UA"/>
        </w:rPr>
        <w:t xml:space="preserve"> ЗОШ </w:t>
      </w:r>
      <w:proofErr w:type="spellStart"/>
      <w:r>
        <w:rPr>
          <w:sz w:val="28"/>
          <w:szCs w:val="28"/>
          <w:lang w:val="uk-UA"/>
        </w:rPr>
        <w:t>І-ІІІст</w:t>
      </w:r>
      <w:proofErr w:type="spellEnd"/>
      <w:r>
        <w:rPr>
          <w:sz w:val="28"/>
          <w:szCs w:val="28"/>
          <w:lang w:val="uk-UA"/>
        </w:rPr>
        <w:t xml:space="preserve">.» - 100000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за КТКВК 150122 «Інвестиційні проекти» фінансова участь у реалізації інвестиційних проектів,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заходів щодо соціально-економічного розвитку територій в сумі 30000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5A25B7" w:rsidRDefault="005A25B7" w:rsidP="005A25B7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райдержадміністрація за КТКВК 080800 «Центри первинної медичної (медико-санітарної) допомоги» на суму 68700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придбання термографа контактного цифрового.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Здійснити перерозподіл видатків: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за головним розпорядником коштів 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районна державна адміністрація, зменшивши видатки загального фонду за КТКВК 080800 «Центри первинної медичної (медико-санітарної) допомоги» на суму 13000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збільшити видатки спеціального фонду на цю ж суму для придбання предметів довгострокового користування;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 головним розпорядником коштів Управління праці та соціального захисту населення, зменшивши видатки загального фонду за КТКВК 250404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«Інші видатки»  в сумі </w:t>
      </w:r>
      <w:r w:rsidRPr="00722D99">
        <w:rPr>
          <w:color w:val="FF0000"/>
          <w:sz w:val="28"/>
          <w:szCs w:val="28"/>
          <w:lang w:val="uk-UA"/>
        </w:rPr>
        <w:t xml:space="preserve">52862 </w:t>
      </w:r>
      <w:proofErr w:type="spellStart"/>
      <w:r w:rsidRPr="00722D99">
        <w:rPr>
          <w:color w:val="FF0000"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збільшити видатки спеціального фонду на цю ж суму для оплати за встановлені шафи-купе;</w:t>
      </w:r>
    </w:p>
    <w:p w:rsidR="005A25B7" w:rsidRPr="0000634B" w:rsidRDefault="005A25B7" w:rsidP="005A25B7">
      <w:pPr>
        <w:tabs>
          <w:tab w:val="left" w:pos="709"/>
        </w:tabs>
        <w:jc w:val="both"/>
        <w:rPr>
          <w:color w:val="FF0000"/>
          <w:sz w:val="28"/>
          <w:szCs w:val="28"/>
          <w:lang w:val="uk-UA"/>
        </w:rPr>
      </w:pPr>
      <w:r w:rsidRPr="0000634B">
        <w:rPr>
          <w:color w:val="FF0000"/>
          <w:sz w:val="28"/>
          <w:szCs w:val="28"/>
          <w:lang w:val="uk-UA"/>
        </w:rPr>
        <w:t xml:space="preserve">         - за головним розпорядником коштів </w:t>
      </w:r>
      <w:r>
        <w:rPr>
          <w:color w:val="FF0000"/>
          <w:sz w:val="28"/>
          <w:szCs w:val="28"/>
          <w:lang w:val="uk-UA"/>
        </w:rPr>
        <w:t>в</w:t>
      </w:r>
      <w:r w:rsidRPr="0000634B">
        <w:rPr>
          <w:color w:val="FF0000"/>
          <w:sz w:val="28"/>
          <w:szCs w:val="28"/>
          <w:lang w:val="uk-UA"/>
        </w:rPr>
        <w:t xml:space="preserve">ідділ освіти </w:t>
      </w:r>
      <w:proofErr w:type="spellStart"/>
      <w:r>
        <w:rPr>
          <w:color w:val="FF0000"/>
          <w:sz w:val="28"/>
          <w:szCs w:val="28"/>
          <w:lang w:val="uk-UA"/>
        </w:rPr>
        <w:t>Чечельницької</w:t>
      </w:r>
      <w:proofErr w:type="spellEnd"/>
      <w:r>
        <w:rPr>
          <w:color w:val="FF0000"/>
          <w:sz w:val="28"/>
          <w:szCs w:val="28"/>
          <w:lang w:val="uk-UA"/>
        </w:rPr>
        <w:t xml:space="preserve"> РДА </w:t>
      </w:r>
      <w:r>
        <w:rPr>
          <w:color w:val="FF0000"/>
          <w:sz w:val="28"/>
          <w:szCs w:val="28"/>
          <w:lang w:val="uk-UA"/>
        </w:rPr>
        <w:t>за КТКВК 070401 «</w:t>
      </w:r>
      <w:r w:rsidRPr="0000634B">
        <w:rPr>
          <w:color w:val="FF0000"/>
          <w:sz w:val="28"/>
          <w:szCs w:val="28"/>
          <w:lang w:val="uk-UA"/>
        </w:rPr>
        <w:t>Позашкільні заклади освіти, заходи із позашкільної роботи з</w:t>
      </w:r>
      <w:r>
        <w:rPr>
          <w:color w:val="FF0000"/>
          <w:sz w:val="28"/>
          <w:szCs w:val="28"/>
          <w:lang w:val="uk-UA"/>
        </w:rPr>
        <w:t xml:space="preserve"> дітьми»</w:t>
      </w:r>
      <w:r w:rsidRPr="0000634B">
        <w:rPr>
          <w:color w:val="FF0000"/>
          <w:sz w:val="28"/>
          <w:szCs w:val="28"/>
          <w:lang w:val="uk-UA"/>
        </w:rPr>
        <w:t>, зменшивши видатки загального фонду за КЕКВ 2111</w:t>
      </w:r>
      <w:r>
        <w:rPr>
          <w:color w:val="FF0000"/>
          <w:sz w:val="28"/>
          <w:szCs w:val="28"/>
          <w:lang w:val="uk-UA"/>
        </w:rPr>
        <w:t xml:space="preserve"> «Заробітна </w:t>
      </w:r>
      <w:r>
        <w:rPr>
          <w:color w:val="FF0000"/>
          <w:sz w:val="28"/>
          <w:szCs w:val="28"/>
          <w:lang w:val="uk-UA"/>
        </w:rPr>
        <w:lastRenderedPageBreak/>
        <w:t xml:space="preserve">плата» та, відповідно, збільшивши за КТКВК 2120 «Нарахування на оплату праці» </w:t>
      </w:r>
      <w:r w:rsidRPr="0000634B">
        <w:rPr>
          <w:color w:val="FF0000"/>
          <w:sz w:val="28"/>
          <w:szCs w:val="28"/>
          <w:lang w:val="uk-UA"/>
        </w:rPr>
        <w:t xml:space="preserve">на суму 8750 грн. 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6. Здійснити перерозподіл видатків за головним розпорядником коштів Відділ культури та туризму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</w:t>
      </w:r>
      <w:proofErr w:type="spellEnd"/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йдержадміністрації</w:t>
      </w:r>
      <w:proofErr w:type="spellEnd"/>
      <w:r>
        <w:rPr>
          <w:sz w:val="28"/>
          <w:szCs w:val="28"/>
          <w:lang w:val="uk-UA"/>
        </w:rPr>
        <w:t xml:space="preserve"> за КТКВК 110502 «Інші культурно-освітні заклади та заходи», зменшивши видатки спеціального фонду на суму 30000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збільшивши видатки загального фонду на цю ж суму.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7. Здійснити перерозподіл видатків між спеціальним та загальним фондом районного бюджету та за головними розпорядниками коштів районного бюджету, а саме: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зменшити видатки за КТКВК 070201 «Загальноосвітні школи» на суму 236028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відповідно, збільшити за КТКВК 080101 «Лікарні» (заробітна плата та нарахування на оплату праці) на цю ж суму.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8. Внести зміни до п.1.5.а рішення сесії районної ради  № 101 від 15.07.2016 року, а саме, змінити цілі, на які будуть використано кошти залишку коштів освітньої субвенції, що склався станом на 01.01.2016 року: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- для завершення поточного ремонту водовідвідної системи у  КЗ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ЗОШ І-ІІІ ст. № 1» 87564грн;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завершення поточного ремонту системи опалення у КЗ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ЗОШ І-ІІІ ст. № 2» -  40000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;                  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поточного ремонту із заміною вікон у  КЗ «</w:t>
      </w:r>
      <w:proofErr w:type="spellStart"/>
      <w:r>
        <w:rPr>
          <w:sz w:val="28"/>
          <w:szCs w:val="28"/>
          <w:lang w:val="uk-UA"/>
        </w:rPr>
        <w:t>Червоногребельська</w:t>
      </w:r>
      <w:proofErr w:type="spellEnd"/>
      <w:r>
        <w:rPr>
          <w:sz w:val="28"/>
          <w:szCs w:val="28"/>
          <w:lang w:val="uk-UA"/>
        </w:rPr>
        <w:t xml:space="preserve"> ЗОШ І-ІІІ» - 47000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для поточного ремонту із заміною вікон у  КЗ «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ЗОШ І-ІІІ ст.» - 78000грн;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 w:rsidRPr="00C52AC4">
        <w:rPr>
          <w:sz w:val="28"/>
          <w:szCs w:val="28"/>
          <w:lang w:val="uk-UA"/>
        </w:rPr>
        <w:t xml:space="preserve">- зменшити видатки  </w:t>
      </w:r>
      <w:r>
        <w:rPr>
          <w:sz w:val="28"/>
          <w:szCs w:val="28"/>
          <w:lang w:val="uk-UA"/>
        </w:rPr>
        <w:t xml:space="preserve">за КТКВК 070201 «Загальноосвітні школи» на суму 96798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та, відповідно</w:t>
      </w:r>
      <w:r w:rsidRPr="00AE3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за головним розпорядником коштів </w:t>
      </w:r>
      <w:proofErr w:type="spellStart"/>
      <w:r>
        <w:rPr>
          <w:sz w:val="28"/>
          <w:szCs w:val="28"/>
          <w:lang w:val="uk-UA"/>
        </w:rPr>
        <w:t>Чечельницькою</w:t>
      </w:r>
      <w:proofErr w:type="spellEnd"/>
      <w:r>
        <w:rPr>
          <w:sz w:val="28"/>
          <w:szCs w:val="28"/>
          <w:lang w:val="uk-UA"/>
        </w:rPr>
        <w:t xml:space="preserve"> районною державною адміністрацією,  за КТКВК 250404 «Інші видатки» відповідно до програми соціально-економічного розвитку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на 2016 рік для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проекту розвитку територіальних громад-переможців в рамках міжнародних грантових проектів ЄС ПРООН «Енергозберігаючі заходи» на проведення капітального ремонту КЗ «</w:t>
      </w:r>
      <w:proofErr w:type="spellStart"/>
      <w:r>
        <w:rPr>
          <w:sz w:val="28"/>
          <w:szCs w:val="28"/>
          <w:lang w:val="uk-UA"/>
        </w:rPr>
        <w:t>Стратіївський</w:t>
      </w:r>
      <w:proofErr w:type="spellEnd"/>
      <w:r>
        <w:rPr>
          <w:sz w:val="28"/>
          <w:szCs w:val="28"/>
          <w:lang w:val="uk-UA"/>
        </w:rPr>
        <w:t xml:space="preserve"> НВК І-ІІІ ст.» - 96798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громадській організації «Живильне джерело </w:t>
      </w:r>
      <w:proofErr w:type="spellStart"/>
      <w:r>
        <w:rPr>
          <w:sz w:val="28"/>
          <w:szCs w:val="28"/>
          <w:lang w:val="uk-UA"/>
        </w:rPr>
        <w:t>Стратіївки</w:t>
      </w:r>
      <w:proofErr w:type="spellEnd"/>
      <w:r>
        <w:rPr>
          <w:sz w:val="28"/>
          <w:szCs w:val="28"/>
          <w:lang w:val="uk-UA"/>
        </w:rPr>
        <w:t>».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9. Установити профіцит загального фонду районного бюджету в сумі </w:t>
      </w:r>
      <w:r w:rsidRPr="0000634B">
        <w:rPr>
          <w:color w:val="FF0000"/>
          <w:sz w:val="28"/>
          <w:szCs w:val="28"/>
          <w:lang w:val="uk-UA"/>
        </w:rPr>
        <w:t xml:space="preserve">65862   </w:t>
      </w:r>
      <w:proofErr w:type="spellStart"/>
      <w:r w:rsidRPr="0000634B">
        <w:rPr>
          <w:color w:val="FF0000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>, напрямком якого визначити передачу коштів із загального фонду до бюджету розвитку (спеціального фонду) (додаток 2).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10. Установити дефіцит спеціального фонду районного бюджету  в сумі       </w:t>
      </w:r>
      <w:r w:rsidRPr="0000634B">
        <w:rPr>
          <w:color w:val="FF0000"/>
          <w:sz w:val="28"/>
          <w:szCs w:val="28"/>
          <w:lang w:val="uk-UA"/>
        </w:rPr>
        <w:t>65862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джерелом покриття якого визначити передачу коштів загального фонду до бюджету розвитку (спеціального фонду) (додаток 2).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  <w:lang w:val="uk-UA"/>
        </w:rPr>
        <w:tab/>
        <w:t xml:space="preserve">11. Установити профіцит спеціального фонду районного бюджету в сумі 426028  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напрямком якого визначити передачу коштів із загального фонду до бюджету розвитку (спеціального фонду) (додаток 2).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12. Установити дефіцит загального фонду районного бюджету  в сумі       426028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джерелом покриття якого визначити передачу коштів загального фонду до бюджету розвитку (спеціального фонду) (додаток 2).</w:t>
      </w:r>
    </w:p>
    <w:p w:rsidR="005A25B7" w:rsidRDefault="005A25B7" w:rsidP="005A25B7">
      <w:pPr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13. Затвердити зміни до рішення 2 сесії районної ради 7 скликання від      18 грудня 2015 року № 8 «Про районний бюджет на 2016 рік», внесені розпорядженням голови районної державної адміністрації  за погодженням з постійною комісією районної ради з питань бюджету та комунальної власності: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1) від 16  серпня  2016  року № 273 «Про внесення змін до районного бюджету на 2016 рік, а саме:</w:t>
      </w:r>
      <w:r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зарахування до районного бюджету іншої субвенції  </w:t>
      </w:r>
      <w:r>
        <w:rPr>
          <w:sz w:val="28"/>
          <w:szCs w:val="28"/>
          <w:lang w:val="uk-UA"/>
        </w:rPr>
        <w:t>з  сільських та селищного бюджетів для: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професійної сцени для районного Будинку культури для відзначення святкових заходів. Головними  розпорядниками  даних коштів  є відділ культури та туризму 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за КТКВК 110204 в сумі  139360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предметів, матеріалів, обладнання та інвентарю для КЗ «</w:t>
      </w:r>
      <w:proofErr w:type="spellStart"/>
      <w:r>
        <w:rPr>
          <w:sz w:val="28"/>
          <w:szCs w:val="28"/>
          <w:lang w:val="uk-UA"/>
        </w:rPr>
        <w:t>Демівська</w:t>
      </w:r>
      <w:proofErr w:type="spellEnd"/>
      <w:r>
        <w:rPr>
          <w:sz w:val="28"/>
          <w:szCs w:val="28"/>
          <w:lang w:val="uk-UA"/>
        </w:rPr>
        <w:t xml:space="preserve"> СЗШ І-ІІІ ст.» в сумі 7000 грн. Головним розпорядником коштів є відділ освіти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райдержадміністрації;</w:t>
      </w:r>
    </w:p>
    <w:p w:rsidR="005A25B7" w:rsidRDefault="005A25B7" w:rsidP="005A2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здійснити перерозподіл видатків за головними розпорядниками коштів –</w:t>
      </w:r>
    </w:p>
    <w:p w:rsidR="005A25B7" w:rsidRPr="00C52AC4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видатки по </w:t>
      </w:r>
      <w:proofErr w:type="spellStart"/>
      <w:r>
        <w:rPr>
          <w:sz w:val="28"/>
          <w:szCs w:val="28"/>
          <w:lang w:val="uk-UA"/>
        </w:rPr>
        <w:t>Чечельницькій</w:t>
      </w:r>
      <w:proofErr w:type="spellEnd"/>
      <w:r>
        <w:rPr>
          <w:sz w:val="28"/>
          <w:szCs w:val="28"/>
          <w:lang w:val="uk-UA"/>
        </w:rPr>
        <w:t xml:space="preserve"> райдержадміністрації на 90360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 КФК 250404 та збільшити видатки по відділу культури і туризму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 за КФК 110204 на суму 90360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C52AC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C52A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2)</w:t>
      </w:r>
      <w:r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</w:rPr>
        <w:t xml:space="preserve">13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  <w:lang w:val="uk-UA"/>
        </w:rPr>
        <w:t xml:space="preserve"> 2016 року № 297 </w:t>
      </w:r>
      <w:r>
        <w:rPr>
          <w:sz w:val="28"/>
          <w:szCs w:val="28"/>
          <w:lang w:val="uk-UA"/>
        </w:rPr>
        <w:t xml:space="preserve">«Про внесення змін до районного бюджету на 2016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ік», а саме:</w:t>
      </w:r>
    </w:p>
    <w:p w:rsidR="005A25B7" w:rsidRPr="00247317" w:rsidRDefault="005A25B7" w:rsidP="005A25B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- зарахування до районного бюджету міжбюджетного трансферту у вигляді іншої субвенції з обласного бюджету в сумі </w:t>
      </w:r>
      <w:r>
        <w:rPr>
          <w:bCs/>
          <w:sz w:val="28"/>
          <w:szCs w:val="28"/>
        </w:rPr>
        <w:t>8396</w:t>
      </w:r>
      <w:r>
        <w:rPr>
          <w:bCs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Головний розпорядник даних коштів  Управління праці та соціального захисту населення райдержадміністрації за  КТКВК 170102;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2016 року №</w:t>
      </w:r>
      <w:r>
        <w:rPr>
          <w:sz w:val="28"/>
          <w:szCs w:val="28"/>
          <w:lang w:val="uk-UA"/>
        </w:rPr>
        <w:t xml:space="preserve">  </w:t>
      </w:r>
      <w:r w:rsidRPr="0000634B">
        <w:rPr>
          <w:color w:val="FF0000"/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«Про внесення змін до районного бюджету на 2016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ік»,  а саме:</w:t>
      </w:r>
    </w:p>
    <w:p w:rsidR="005A25B7" w:rsidRDefault="005A25B7" w:rsidP="005A25B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зарахування до районного бюджету міжбюджетного трансферту у вигляді іншої   субвенції з обласного бюджету 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до загального  фонду районного </w:t>
      </w:r>
      <w:r>
        <w:rPr>
          <w:bCs/>
          <w:sz w:val="28"/>
          <w:szCs w:val="28"/>
          <w:lang w:val="uk-UA"/>
        </w:rPr>
        <w:t xml:space="preserve">бюджету в сумі  49403,55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 xml:space="preserve">, до спеціального фонду районного бюджету 35288,25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 xml:space="preserve">, згідно розпорядження голови обласної державної адміністрації від 15.09.2016 року № 660, передбаченої для розподілу переможцям тринадцятого обласного конкурсу проектів розвитку територіальних громад, в т.ч. проект «Обладнане сміттєзвалище - гарант екологічної безпеки мешканців селища» </w:t>
      </w:r>
      <w:proofErr w:type="spellStart"/>
      <w:r>
        <w:rPr>
          <w:bCs/>
          <w:sz w:val="28"/>
          <w:szCs w:val="28"/>
          <w:lang w:val="uk-UA"/>
        </w:rPr>
        <w:t>смт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Чечельник</w:t>
      </w:r>
      <w:proofErr w:type="spellEnd"/>
      <w:r>
        <w:rPr>
          <w:bCs/>
          <w:sz w:val="28"/>
          <w:szCs w:val="28"/>
          <w:lang w:val="uk-UA"/>
        </w:rPr>
        <w:t xml:space="preserve"> - 49403,55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 xml:space="preserve">  та «Ігровий спортивний майданчик – </w:t>
      </w:r>
      <w:r>
        <w:rPr>
          <w:bCs/>
          <w:sz w:val="28"/>
          <w:szCs w:val="28"/>
          <w:lang w:val="uk-UA"/>
        </w:rPr>
        <w:lastRenderedPageBreak/>
        <w:t xml:space="preserve">шлях до здорового розвитку дітей в ДНЗ </w:t>
      </w:r>
      <w:r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val="uk-UA"/>
        </w:rPr>
        <w:t>«Подоляночка»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с.Рогізка</w:t>
      </w:r>
      <w:proofErr w:type="spellEnd"/>
      <w:r>
        <w:rPr>
          <w:bCs/>
          <w:sz w:val="28"/>
          <w:szCs w:val="28"/>
          <w:lang w:val="uk-UA"/>
        </w:rPr>
        <w:t xml:space="preserve"> -      35288,25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5A25B7" w:rsidRPr="00B31BD0" w:rsidRDefault="005A25B7" w:rsidP="005A25B7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B31BD0">
        <w:rPr>
          <w:bCs/>
          <w:color w:val="FF0000"/>
          <w:sz w:val="28"/>
          <w:szCs w:val="28"/>
          <w:lang w:val="uk-UA"/>
        </w:rPr>
        <w:t>- зменшення доходів спеціального фонду райо</w:t>
      </w:r>
      <w:r>
        <w:rPr>
          <w:bCs/>
          <w:color w:val="FF0000"/>
          <w:sz w:val="28"/>
          <w:szCs w:val="28"/>
          <w:lang w:val="uk-UA"/>
        </w:rPr>
        <w:t xml:space="preserve">нного бюджету в сумі 600000 </w:t>
      </w:r>
      <w:proofErr w:type="spellStart"/>
      <w:r>
        <w:rPr>
          <w:bCs/>
          <w:color w:val="FF0000"/>
          <w:sz w:val="28"/>
          <w:szCs w:val="28"/>
          <w:lang w:val="uk-UA"/>
        </w:rPr>
        <w:t>грн</w:t>
      </w:r>
      <w:proofErr w:type="spellEnd"/>
      <w:r w:rsidRPr="00B31BD0">
        <w:rPr>
          <w:bCs/>
          <w:color w:val="FF0000"/>
          <w:sz w:val="28"/>
          <w:szCs w:val="28"/>
          <w:lang w:val="uk-UA"/>
        </w:rPr>
        <w:t xml:space="preserve"> коштів </w:t>
      </w:r>
      <w:r w:rsidRPr="00B31BD0">
        <w:rPr>
          <w:color w:val="FF0000"/>
          <w:sz w:val="28"/>
          <w:szCs w:val="28"/>
          <w:lang w:val="uk-UA"/>
        </w:rPr>
        <w:t>субвенції за рахунок залишку коштів освітньої субвенції з державного бюджету місцевим бюджетам, що утворився н</w:t>
      </w:r>
      <w:r>
        <w:rPr>
          <w:color w:val="FF0000"/>
          <w:sz w:val="28"/>
          <w:szCs w:val="28"/>
          <w:lang w:val="uk-UA"/>
        </w:rPr>
        <w:t>а початок бюджетного періоду та, відповідно</w:t>
      </w:r>
      <w:r w:rsidRPr="00B31BD0">
        <w:rPr>
          <w:color w:val="FF0000"/>
          <w:sz w:val="28"/>
          <w:szCs w:val="28"/>
          <w:lang w:val="uk-UA"/>
        </w:rPr>
        <w:t xml:space="preserve">, зменшити видатки головного </w:t>
      </w:r>
      <w:r>
        <w:rPr>
          <w:color w:val="FF0000"/>
          <w:sz w:val="28"/>
          <w:szCs w:val="28"/>
          <w:lang w:val="uk-UA"/>
        </w:rPr>
        <w:t>розпорядника  бюджетних коштів - в</w:t>
      </w:r>
      <w:r w:rsidRPr="00B31BD0">
        <w:rPr>
          <w:color w:val="FF0000"/>
          <w:sz w:val="28"/>
          <w:szCs w:val="28"/>
          <w:lang w:val="uk-UA"/>
        </w:rPr>
        <w:t>ідділ освіти</w:t>
      </w:r>
      <w:r>
        <w:rPr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color w:val="FF0000"/>
          <w:sz w:val="28"/>
          <w:szCs w:val="28"/>
          <w:lang w:val="uk-UA"/>
        </w:rPr>
        <w:t>Чечельницької</w:t>
      </w:r>
      <w:proofErr w:type="spellEnd"/>
      <w:r>
        <w:rPr>
          <w:color w:val="FF0000"/>
          <w:sz w:val="28"/>
          <w:szCs w:val="28"/>
          <w:lang w:val="uk-UA"/>
        </w:rPr>
        <w:t xml:space="preserve"> РДА</w:t>
      </w:r>
      <w:r w:rsidRPr="00B31BD0">
        <w:rPr>
          <w:color w:val="FF0000"/>
          <w:sz w:val="28"/>
          <w:szCs w:val="28"/>
          <w:lang w:val="uk-UA"/>
        </w:rPr>
        <w:t xml:space="preserve"> за КТКВК 070201«Загальноосвітні школи»(придбання шкільного автобуса).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14. Фінансовому управлінню районної державної адміністрації  (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Н.О.) внести зміни до районного бюджету на 2016 рік згідно з п.1,2,3,4  (додатки 1,2,3,4,5,6 до цього рішення).</w:t>
      </w:r>
    </w:p>
    <w:p w:rsidR="005A25B7" w:rsidRDefault="005A25B7" w:rsidP="005A25B7">
      <w:pPr>
        <w:jc w:val="both"/>
        <w:rPr>
          <w:sz w:val="28"/>
          <w:szCs w:val="28"/>
          <w:lang w:val="uk-UA"/>
        </w:rPr>
      </w:pPr>
    </w:p>
    <w:p w:rsidR="005A25B7" w:rsidRDefault="005A25B7" w:rsidP="005A2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15.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5A25B7" w:rsidRDefault="005A25B7" w:rsidP="005A25B7">
      <w:pPr>
        <w:ind w:left="360"/>
        <w:rPr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5A25B7" w:rsidRDefault="005A25B7" w:rsidP="005A25B7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  <w:r>
        <w:rPr>
          <w:lang w:val="uk-UA"/>
        </w:rPr>
        <w:t xml:space="preserve">                                                                                   </w:t>
      </w:r>
    </w:p>
    <w:p w:rsidR="005A25B7" w:rsidRDefault="005A25B7" w:rsidP="005A25B7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lang w:val="uk-UA"/>
        </w:rPr>
      </w:pPr>
    </w:p>
    <w:p w:rsidR="00F87310" w:rsidRPr="005A25B7" w:rsidRDefault="00F87310">
      <w:pPr>
        <w:rPr>
          <w:lang w:val="uk-UA"/>
        </w:rPr>
      </w:pPr>
    </w:p>
    <w:sectPr w:rsidR="00F87310" w:rsidRPr="005A25B7" w:rsidSect="002473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B7"/>
    <w:rsid w:val="005A25B7"/>
    <w:rsid w:val="00F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A25B7"/>
    <w:pPr>
      <w:keepNext/>
      <w:ind w:left="-142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A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5A25B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rmal (Web)"/>
    <w:basedOn w:val="a"/>
    <w:uiPriority w:val="99"/>
    <w:rsid w:val="005A25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A25B7"/>
    <w:pPr>
      <w:keepNext/>
      <w:ind w:left="-142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A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5A25B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rmal (Web)"/>
    <w:basedOn w:val="a"/>
    <w:uiPriority w:val="99"/>
    <w:rsid w:val="005A25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8291</Words>
  <Characters>4727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</cp:revision>
  <dcterms:created xsi:type="dcterms:W3CDTF">2016-10-05T13:07:00Z</dcterms:created>
  <dcterms:modified xsi:type="dcterms:W3CDTF">2016-10-05T13:10:00Z</dcterms:modified>
</cp:coreProperties>
</file>